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D6F12" w14:textId="478A6B4C" w:rsidR="00BE106B" w:rsidRPr="002E5414" w:rsidRDefault="00846860" w:rsidP="00890244">
      <w:pPr>
        <w:rPr>
          <w:rFonts w:ascii="Times New Roman" w:hAnsi="Times New Roman" w:cs="Times New Roman"/>
          <w:b/>
          <w:color w:val="000000" w:themeColor="text1"/>
          <w:sz w:val="24"/>
        </w:rPr>
      </w:pPr>
      <w:r w:rsidRPr="002E5414">
        <w:rPr>
          <w:rFonts w:ascii="Times New Roman" w:hAnsi="Times New Roman" w:cs="Times New Roman"/>
          <w:color w:val="000000" w:themeColor="text1"/>
          <w:sz w:val="24"/>
        </w:rPr>
        <w:tab/>
        <w:t xml:space="preserve">      </w:t>
      </w:r>
    </w:p>
    <w:p w14:paraId="794BBECC" w14:textId="5AFC2BB4" w:rsidR="00890244" w:rsidRPr="002E5414" w:rsidRDefault="002A308D" w:rsidP="00890244">
      <w:pPr>
        <w:spacing w:before="60" w:after="60"/>
        <w:jc w:val="center"/>
        <w:rPr>
          <w:rFonts w:ascii="Times New Roman" w:hAnsi="Times New Roman" w:cs="Times New Roman"/>
          <w:color w:val="000000" w:themeColor="text1"/>
          <w:sz w:val="28"/>
          <w:szCs w:val="28"/>
        </w:rPr>
      </w:pPr>
      <w:r w:rsidRPr="002E5414">
        <w:rPr>
          <w:rFonts w:ascii="Times New Roman" w:hAnsi="Times New Roman" w:cs="Times New Roman"/>
          <w:color w:val="000000" w:themeColor="text1"/>
          <w:sz w:val="28"/>
          <w:szCs w:val="28"/>
        </w:rPr>
        <w:t xml:space="preserve">MINISTRY OF EDUCATION AND </w:t>
      </w:r>
      <w:r w:rsidRPr="002E5414">
        <w:rPr>
          <w:rFonts w:ascii="Times New Roman" w:hAnsi="Times New Roman" w:cs="Times New Roman"/>
          <w:noProof/>
          <w:color w:val="000000" w:themeColor="text1"/>
          <w:sz w:val="28"/>
          <w:szCs w:val="28"/>
          <w:lang w:val="vi-VN"/>
        </w:rPr>
        <w:t>TRAINING  MINISTRY</w:t>
      </w:r>
      <w:r w:rsidRPr="002E5414">
        <w:rPr>
          <w:rFonts w:ascii="Times New Roman" w:hAnsi="Times New Roman" w:cs="Times New Roman"/>
          <w:color w:val="000000" w:themeColor="text1"/>
          <w:sz w:val="28"/>
          <w:szCs w:val="28"/>
        </w:rPr>
        <w:t xml:space="preserve"> OF FINANCE</w:t>
      </w:r>
    </w:p>
    <w:p w14:paraId="5CB920C1" w14:textId="51A6BDD1" w:rsidR="00E27CA2" w:rsidRPr="002E5414" w:rsidRDefault="002A308D" w:rsidP="00B329C6">
      <w:pPr>
        <w:spacing w:before="120" w:after="60"/>
        <w:jc w:val="center"/>
        <w:rPr>
          <w:rFonts w:ascii="Times New Roman" w:hAnsi="Times New Roman" w:cs="Times New Roman"/>
          <w:b/>
          <w:bCs/>
          <w:color w:val="000000" w:themeColor="text1"/>
          <w:sz w:val="28"/>
          <w:szCs w:val="28"/>
        </w:rPr>
      </w:pPr>
      <w:r w:rsidRPr="002E5414">
        <w:rPr>
          <w:rFonts w:ascii="Times New Roman" w:hAnsi="Times New Roman" w:cs="Times New Roman"/>
          <w:b/>
          <w:bCs/>
          <w:color w:val="000000" w:themeColor="text1"/>
          <w:sz w:val="28"/>
          <w:szCs w:val="28"/>
        </w:rPr>
        <w:t>ACADEMY OF FINANCE</w:t>
      </w:r>
    </w:p>
    <w:p w14:paraId="3B2A4C6F" w14:textId="77777777" w:rsidR="00F441DA" w:rsidRPr="002E5414" w:rsidRDefault="00F441DA" w:rsidP="00F441DA">
      <w:pPr>
        <w:ind w:left="440" w:right="334"/>
        <w:jc w:val="center"/>
        <w:rPr>
          <w:rFonts w:ascii="Times New Roman" w:hAnsi="Times New Roman" w:cs="Times New Roman"/>
          <w:color w:val="000000" w:themeColor="text1"/>
        </w:rPr>
      </w:pP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w w:val="95"/>
        </w:rPr>
        <w:t>----</w:t>
      </w:r>
      <w:r w:rsidRPr="002E5414">
        <w:rPr>
          <w:rFonts w:ascii="Times New Roman" w:hAnsi="Times New Roman" w:cs="Times New Roman"/>
          <w:color w:val="000000" w:themeColor="text1"/>
          <w:spacing w:val="-10"/>
          <w:w w:val="95"/>
        </w:rPr>
        <w:t>-</w:t>
      </w:r>
    </w:p>
    <w:p w14:paraId="452A7370" w14:textId="51A4D272" w:rsidR="005D5226" w:rsidRPr="002E5414" w:rsidRDefault="005D5226" w:rsidP="009D6E55">
      <w:pPr>
        <w:jc w:val="center"/>
        <w:rPr>
          <w:rFonts w:ascii="Times New Roman" w:hAnsi="Times New Roman" w:cs="Times New Roman"/>
          <w:b/>
          <w:bCs/>
          <w:color w:val="000000" w:themeColor="text1"/>
          <w:sz w:val="28"/>
          <w:szCs w:val="28"/>
        </w:rPr>
      </w:pPr>
    </w:p>
    <w:p w14:paraId="089B7C0A" w14:textId="77777777" w:rsidR="00E27CA2" w:rsidRPr="002E5414" w:rsidRDefault="00E27CA2" w:rsidP="00E27CA2">
      <w:pPr>
        <w:rPr>
          <w:rFonts w:ascii="Times New Roman" w:hAnsi="Times New Roman" w:cs="Times New Roman"/>
          <w:b/>
          <w:color w:val="000000" w:themeColor="text1"/>
          <w:sz w:val="28"/>
          <w:szCs w:val="28"/>
        </w:rPr>
      </w:pPr>
    </w:p>
    <w:p w14:paraId="4FF231C5" w14:textId="77777777" w:rsidR="007C7372" w:rsidRPr="002E5414" w:rsidRDefault="007C7372" w:rsidP="00E27CA2">
      <w:pPr>
        <w:rPr>
          <w:rFonts w:ascii="Times New Roman" w:hAnsi="Times New Roman" w:cs="Times New Roman"/>
          <w:b/>
          <w:color w:val="000000" w:themeColor="text1"/>
          <w:sz w:val="28"/>
          <w:szCs w:val="28"/>
        </w:rPr>
      </w:pPr>
    </w:p>
    <w:p w14:paraId="205F34E0" w14:textId="77777777" w:rsidR="00F441DA" w:rsidRPr="002E5414" w:rsidRDefault="00F441DA" w:rsidP="00E27CA2">
      <w:pPr>
        <w:rPr>
          <w:rFonts w:ascii="Times New Roman" w:hAnsi="Times New Roman" w:cs="Times New Roman"/>
          <w:color w:val="000000" w:themeColor="text1"/>
          <w:sz w:val="24"/>
        </w:rPr>
      </w:pPr>
    </w:p>
    <w:p w14:paraId="303A930E" w14:textId="77777777" w:rsidR="00E27CA2" w:rsidRPr="002E5414" w:rsidRDefault="00E27CA2" w:rsidP="00E27CA2">
      <w:pPr>
        <w:rPr>
          <w:rFonts w:ascii="Times New Roman" w:hAnsi="Times New Roman" w:cs="Times New Roman"/>
          <w:color w:val="000000" w:themeColor="text1"/>
          <w:sz w:val="24"/>
        </w:rPr>
      </w:pPr>
    </w:p>
    <w:p w14:paraId="1B5F71F0" w14:textId="77777777" w:rsidR="00204490" w:rsidRPr="002E5414" w:rsidRDefault="00204490" w:rsidP="00E27CA2">
      <w:pPr>
        <w:rPr>
          <w:rFonts w:ascii="Times New Roman" w:hAnsi="Times New Roman" w:cs="Times New Roman"/>
          <w:color w:val="000000" w:themeColor="text1"/>
          <w:sz w:val="24"/>
        </w:rPr>
      </w:pPr>
    </w:p>
    <w:p w14:paraId="522858E0" w14:textId="77777777" w:rsidR="00E27CA2" w:rsidRPr="002E5414" w:rsidRDefault="00E27CA2" w:rsidP="00E27CA2">
      <w:pPr>
        <w:rPr>
          <w:rFonts w:ascii="Times New Roman" w:hAnsi="Times New Roman" w:cs="Times New Roman"/>
          <w:color w:val="000000" w:themeColor="text1"/>
          <w:sz w:val="24"/>
          <w:lang w:val="vi-VN"/>
        </w:rPr>
      </w:pPr>
    </w:p>
    <w:p w14:paraId="70E66C94" w14:textId="70419E53" w:rsidR="00E27CA2" w:rsidRPr="002E5414" w:rsidRDefault="002A308D" w:rsidP="00E27CA2">
      <w:pPr>
        <w:jc w:val="center"/>
        <w:rPr>
          <w:rFonts w:ascii="Times New Roman" w:hAnsi="Times New Roman" w:cs="Times New Roman"/>
          <w:b/>
          <w:bCs/>
          <w:color w:val="000000" w:themeColor="text1"/>
          <w:sz w:val="28"/>
          <w:szCs w:val="28"/>
        </w:rPr>
      </w:pPr>
      <w:r w:rsidRPr="002E5414">
        <w:rPr>
          <w:rFonts w:ascii="Times New Roman" w:hAnsi="Times New Roman" w:cs="Times New Roman"/>
          <w:b/>
          <w:bCs/>
          <w:color w:val="000000" w:themeColor="text1"/>
          <w:sz w:val="28"/>
          <w:szCs w:val="28"/>
        </w:rPr>
        <w:t>TRAN THI TUYET HANH</w:t>
      </w:r>
    </w:p>
    <w:p w14:paraId="52E0567C" w14:textId="77777777" w:rsidR="00172C6B" w:rsidRPr="002E5414" w:rsidRDefault="00172C6B" w:rsidP="00E27CA2">
      <w:pPr>
        <w:jc w:val="center"/>
        <w:rPr>
          <w:rFonts w:ascii="Times New Roman" w:hAnsi="Times New Roman" w:cs="Times New Roman"/>
          <w:b/>
          <w:bCs/>
          <w:color w:val="000000" w:themeColor="text1"/>
          <w:sz w:val="28"/>
          <w:szCs w:val="28"/>
        </w:rPr>
      </w:pPr>
    </w:p>
    <w:p w14:paraId="0362C278" w14:textId="77777777" w:rsidR="00E31071" w:rsidRPr="002E5414" w:rsidRDefault="00E31071" w:rsidP="00E27CA2">
      <w:pPr>
        <w:jc w:val="center"/>
        <w:rPr>
          <w:rFonts w:ascii="Times New Roman" w:hAnsi="Times New Roman" w:cs="Times New Roman"/>
          <w:b/>
          <w:bCs/>
          <w:color w:val="000000" w:themeColor="text1"/>
          <w:sz w:val="24"/>
          <w:lang w:val="vi-VN"/>
        </w:rPr>
      </w:pPr>
    </w:p>
    <w:p w14:paraId="5386029D" w14:textId="4FC69A98" w:rsidR="00E27CA2" w:rsidRPr="002E5414" w:rsidRDefault="00E27CA2" w:rsidP="00E27CA2">
      <w:pPr>
        <w:jc w:val="center"/>
        <w:rPr>
          <w:rFonts w:ascii="Times New Roman" w:hAnsi="Times New Roman" w:cs="Times New Roman"/>
          <w:i/>
          <w:iCs/>
          <w:color w:val="000000" w:themeColor="text1"/>
          <w:sz w:val="24"/>
        </w:rPr>
      </w:pPr>
    </w:p>
    <w:p w14:paraId="11258905" w14:textId="77777777" w:rsidR="001E1442" w:rsidRPr="002E5414" w:rsidRDefault="001E1442" w:rsidP="00E27CA2">
      <w:pPr>
        <w:jc w:val="center"/>
        <w:rPr>
          <w:rFonts w:ascii="Times New Roman" w:hAnsi="Times New Roman" w:cs="Times New Roman"/>
          <w:i/>
          <w:iCs/>
          <w:color w:val="000000" w:themeColor="text1"/>
          <w:sz w:val="24"/>
        </w:rPr>
      </w:pPr>
    </w:p>
    <w:p w14:paraId="41920774" w14:textId="77777777" w:rsidR="00F441DA" w:rsidRPr="002E5414" w:rsidRDefault="00F441DA" w:rsidP="00E27CA2">
      <w:pPr>
        <w:jc w:val="center"/>
        <w:rPr>
          <w:rFonts w:ascii="Times New Roman" w:hAnsi="Times New Roman" w:cs="Times New Roman"/>
          <w:i/>
          <w:iCs/>
          <w:color w:val="000000" w:themeColor="text1"/>
          <w:sz w:val="24"/>
        </w:rPr>
      </w:pPr>
    </w:p>
    <w:p w14:paraId="38B080DE" w14:textId="77777777" w:rsidR="00F441DA" w:rsidRPr="002E5414" w:rsidRDefault="00F441DA" w:rsidP="00E60A5F">
      <w:pPr>
        <w:rPr>
          <w:rFonts w:ascii="Times New Roman" w:hAnsi="Times New Roman" w:cs="Times New Roman"/>
          <w:i/>
          <w:iCs/>
          <w:color w:val="000000" w:themeColor="text1"/>
          <w:sz w:val="24"/>
        </w:rPr>
      </w:pPr>
    </w:p>
    <w:p w14:paraId="571F2E81" w14:textId="77777777" w:rsidR="00BB55F7" w:rsidRPr="002E5414" w:rsidRDefault="00BB55F7" w:rsidP="00E27CA2">
      <w:pPr>
        <w:jc w:val="center"/>
        <w:rPr>
          <w:rFonts w:ascii="Times New Roman" w:hAnsi="Times New Roman" w:cs="Times New Roman"/>
          <w:i/>
          <w:iCs/>
          <w:color w:val="000000" w:themeColor="text1"/>
          <w:sz w:val="24"/>
          <w:lang w:val="vi-VN"/>
        </w:rPr>
      </w:pPr>
    </w:p>
    <w:p w14:paraId="43447927" w14:textId="0AF0A772" w:rsidR="001E1442" w:rsidRPr="002E5414" w:rsidRDefault="002A308D" w:rsidP="001E1442">
      <w:pPr>
        <w:jc w:val="center"/>
        <w:rPr>
          <w:rFonts w:ascii="Times New Roman" w:hAnsi="Times New Roman" w:cs="Times New Roman"/>
          <w:b/>
          <w:color w:val="000000" w:themeColor="text1"/>
          <w:sz w:val="30"/>
          <w:szCs w:val="30"/>
        </w:rPr>
      </w:pPr>
      <w:r w:rsidRPr="002E5414">
        <w:rPr>
          <w:rFonts w:ascii="Times New Roman" w:hAnsi="Times New Roman" w:cs="Times New Roman"/>
          <w:b/>
          <w:color w:val="000000" w:themeColor="text1"/>
          <w:sz w:val="32"/>
          <w:szCs w:val="32"/>
        </w:rPr>
        <w:t>THE ORGANIZATION OF ACCOUNTING PRACTICES IN PUBLIC HOSPITALS IN THE MEKONG DELTA REGION</w:t>
      </w:r>
      <w:r w:rsidRPr="002E5414">
        <w:rPr>
          <w:rFonts w:ascii="Times New Roman" w:hAnsi="Times New Roman" w:cs="Times New Roman"/>
          <w:b/>
          <w:color w:val="000000" w:themeColor="text1"/>
          <w:sz w:val="30"/>
          <w:szCs w:val="30"/>
        </w:rPr>
        <w:t xml:space="preserve"> </w:t>
      </w:r>
    </w:p>
    <w:p w14:paraId="7D486619" w14:textId="34E8B6AB" w:rsidR="007C7372" w:rsidRPr="002E5414" w:rsidRDefault="007C7372" w:rsidP="00E27CA2">
      <w:pPr>
        <w:jc w:val="center"/>
        <w:rPr>
          <w:rFonts w:ascii="Times New Roman" w:hAnsi="Times New Roman" w:cs="Times New Roman"/>
          <w:b/>
          <w:bCs/>
          <w:color w:val="000000" w:themeColor="text1"/>
          <w:spacing w:val="6"/>
          <w:sz w:val="28"/>
          <w:szCs w:val="28"/>
          <w:lang w:val="vi-VN"/>
        </w:rPr>
      </w:pPr>
    </w:p>
    <w:p w14:paraId="5EB48E5E" w14:textId="77777777" w:rsidR="001E1442" w:rsidRPr="002E5414" w:rsidRDefault="001E1442" w:rsidP="00E27CA2">
      <w:pPr>
        <w:jc w:val="center"/>
        <w:rPr>
          <w:rFonts w:ascii="Times New Roman" w:hAnsi="Times New Roman" w:cs="Times New Roman"/>
          <w:b/>
          <w:bCs/>
          <w:color w:val="000000" w:themeColor="text1"/>
          <w:spacing w:val="6"/>
          <w:sz w:val="28"/>
          <w:szCs w:val="28"/>
          <w:lang w:val="vi-VN"/>
        </w:rPr>
      </w:pPr>
    </w:p>
    <w:p w14:paraId="2537E9C6" w14:textId="77777777" w:rsidR="00F441DA" w:rsidRPr="002E5414" w:rsidRDefault="00F441DA" w:rsidP="00F441DA">
      <w:pPr>
        <w:jc w:val="center"/>
        <w:rPr>
          <w:rFonts w:ascii="Times New Roman" w:hAnsi="Times New Roman" w:cs="Times New Roman"/>
          <w:b/>
          <w:bCs/>
          <w:color w:val="000000" w:themeColor="text1"/>
          <w:sz w:val="28"/>
          <w:szCs w:val="28"/>
        </w:rPr>
      </w:pPr>
    </w:p>
    <w:p w14:paraId="435B7CD0" w14:textId="0DA5FB27" w:rsidR="00144CE5" w:rsidRPr="002E5414" w:rsidRDefault="002A308D" w:rsidP="00144CE5">
      <w:pPr>
        <w:autoSpaceDE w:val="0"/>
        <w:autoSpaceDN w:val="0"/>
        <w:adjustRightInd w:val="0"/>
        <w:spacing w:before="60" w:after="60" w:line="360" w:lineRule="auto"/>
        <w:ind w:firstLine="1559"/>
        <w:rPr>
          <w:rFonts w:ascii="Times New Roman" w:hAnsi="Times New Roman" w:cs="Times New Roman"/>
          <w:bCs/>
          <w:color w:val="000000" w:themeColor="text1"/>
          <w:sz w:val="28"/>
          <w:szCs w:val="28"/>
          <w:lang w:val="vi-VN"/>
        </w:rPr>
      </w:pPr>
      <w:r w:rsidRPr="002E5414">
        <w:rPr>
          <w:rFonts w:ascii="Times New Roman" w:hAnsi="Times New Roman" w:cs="Times New Roman"/>
          <w:bCs/>
          <w:color w:val="000000" w:themeColor="text1"/>
          <w:sz w:val="28"/>
          <w:szCs w:val="28"/>
        </w:rPr>
        <w:t>Major</w:t>
      </w:r>
      <w:r w:rsidR="00144CE5" w:rsidRPr="002E5414">
        <w:rPr>
          <w:rFonts w:ascii="Times New Roman" w:hAnsi="Times New Roman" w:cs="Times New Roman"/>
          <w:bCs/>
          <w:color w:val="000000" w:themeColor="text1"/>
          <w:sz w:val="28"/>
          <w:szCs w:val="28"/>
          <w:lang w:val="vi-VN"/>
        </w:rPr>
        <w:t xml:space="preserve">: </w:t>
      </w:r>
      <w:r w:rsidRPr="002E5414">
        <w:rPr>
          <w:rFonts w:ascii="Times New Roman" w:hAnsi="Times New Roman" w:cs="Times New Roman"/>
          <w:bCs/>
          <w:color w:val="000000" w:themeColor="text1"/>
          <w:sz w:val="28"/>
          <w:szCs w:val="28"/>
        </w:rPr>
        <w:t>Accounting</w:t>
      </w:r>
    </w:p>
    <w:p w14:paraId="27D00D48" w14:textId="33A0AC69" w:rsidR="00144CE5" w:rsidRPr="002E5414" w:rsidRDefault="002A308D" w:rsidP="00144CE5">
      <w:pPr>
        <w:spacing w:before="60" w:after="60" w:line="360" w:lineRule="auto"/>
        <w:ind w:firstLine="1559"/>
        <w:rPr>
          <w:rFonts w:ascii="Times New Roman" w:hAnsi="Times New Roman" w:cs="Times New Roman"/>
          <w:bCs/>
          <w:color w:val="000000" w:themeColor="text1"/>
          <w:sz w:val="28"/>
          <w:szCs w:val="28"/>
          <w:lang w:val="vi-VN"/>
        </w:rPr>
      </w:pPr>
      <w:r w:rsidRPr="002E5414">
        <w:rPr>
          <w:rFonts w:ascii="Times New Roman" w:hAnsi="Times New Roman" w:cs="Times New Roman"/>
          <w:bCs/>
          <w:color w:val="000000" w:themeColor="text1"/>
          <w:sz w:val="28"/>
          <w:szCs w:val="28"/>
        </w:rPr>
        <w:t>Code</w:t>
      </w:r>
      <w:r w:rsidR="00144CE5" w:rsidRPr="002E5414">
        <w:rPr>
          <w:rFonts w:ascii="Times New Roman" w:hAnsi="Times New Roman" w:cs="Times New Roman"/>
          <w:bCs/>
          <w:color w:val="000000" w:themeColor="text1"/>
          <w:sz w:val="28"/>
          <w:szCs w:val="28"/>
          <w:lang w:val="vi-VN"/>
        </w:rPr>
        <w:t>: 9.34.03.01</w:t>
      </w:r>
    </w:p>
    <w:p w14:paraId="5925CA66" w14:textId="77777777" w:rsidR="008F10DE" w:rsidRPr="002E5414" w:rsidRDefault="008F10DE" w:rsidP="00144CE5">
      <w:pPr>
        <w:ind w:firstLine="1560"/>
        <w:rPr>
          <w:rFonts w:ascii="Times New Roman" w:hAnsi="Times New Roman" w:cs="Times New Roman"/>
          <w:i/>
          <w:iCs/>
          <w:color w:val="000000" w:themeColor="text1"/>
          <w:sz w:val="24"/>
          <w:lang w:val="vi-VN"/>
        </w:rPr>
      </w:pPr>
    </w:p>
    <w:p w14:paraId="48FBE1F1" w14:textId="77777777" w:rsidR="00144CE5" w:rsidRPr="002E5414" w:rsidRDefault="00144CE5" w:rsidP="00E27CA2">
      <w:pPr>
        <w:jc w:val="center"/>
        <w:rPr>
          <w:rFonts w:ascii="Times New Roman" w:hAnsi="Times New Roman" w:cs="Times New Roman"/>
          <w:b/>
          <w:bCs/>
          <w:color w:val="000000" w:themeColor="text1"/>
          <w:sz w:val="40"/>
          <w:szCs w:val="40"/>
        </w:rPr>
      </w:pPr>
    </w:p>
    <w:p w14:paraId="42925014" w14:textId="77777777" w:rsidR="00144CE5" w:rsidRPr="002E5414" w:rsidRDefault="00144CE5" w:rsidP="00E60A5F">
      <w:pPr>
        <w:rPr>
          <w:rFonts w:ascii="Times New Roman" w:hAnsi="Times New Roman" w:cs="Times New Roman"/>
          <w:b/>
          <w:bCs/>
          <w:color w:val="000000" w:themeColor="text1"/>
          <w:sz w:val="40"/>
          <w:szCs w:val="40"/>
        </w:rPr>
      </w:pPr>
    </w:p>
    <w:p w14:paraId="19D28F9C" w14:textId="52B1880A" w:rsidR="007C7372" w:rsidRPr="002E5414" w:rsidRDefault="002A308D" w:rsidP="00E27CA2">
      <w:pPr>
        <w:jc w:val="center"/>
        <w:rPr>
          <w:rFonts w:ascii="Times New Roman" w:hAnsi="Times New Roman" w:cs="Times New Roman"/>
          <w:b/>
          <w:bCs/>
          <w:color w:val="000000" w:themeColor="text1"/>
          <w:sz w:val="32"/>
          <w:szCs w:val="32"/>
          <w:lang w:val="vi-VN"/>
        </w:rPr>
      </w:pPr>
      <w:r w:rsidRPr="002E5414">
        <w:rPr>
          <w:rFonts w:ascii="Times New Roman" w:hAnsi="Times New Roman" w:cs="Times New Roman"/>
          <w:b/>
          <w:bCs/>
          <w:color w:val="000000" w:themeColor="text1"/>
          <w:sz w:val="32"/>
          <w:szCs w:val="32"/>
          <w:lang w:val="vi-VN"/>
        </w:rPr>
        <w:t>SUMMARY OF THE DOCTORAL DISSERTATION IN ECONOMICS</w:t>
      </w:r>
    </w:p>
    <w:p w14:paraId="3DDC245F" w14:textId="77777777" w:rsidR="00BB55F7" w:rsidRPr="002E5414" w:rsidRDefault="00BB55F7" w:rsidP="00E27CA2">
      <w:pPr>
        <w:jc w:val="center"/>
        <w:rPr>
          <w:rFonts w:ascii="Times New Roman" w:hAnsi="Times New Roman" w:cs="Times New Roman"/>
          <w:i/>
          <w:iCs/>
          <w:color w:val="000000" w:themeColor="text1"/>
          <w:sz w:val="32"/>
          <w:szCs w:val="32"/>
          <w:lang w:val="vi-VN"/>
        </w:rPr>
      </w:pPr>
    </w:p>
    <w:p w14:paraId="416C1C0A" w14:textId="77777777" w:rsidR="00BB55F7" w:rsidRPr="002E5414" w:rsidRDefault="00BB55F7" w:rsidP="00E27CA2">
      <w:pPr>
        <w:jc w:val="center"/>
        <w:rPr>
          <w:rFonts w:ascii="Times New Roman" w:hAnsi="Times New Roman" w:cs="Times New Roman"/>
          <w:i/>
          <w:iCs/>
          <w:color w:val="000000" w:themeColor="text1"/>
          <w:sz w:val="24"/>
          <w:lang w:val="vi-VN"/>
        </w:rPr>
      </w:pPr>
    </w:p>
    <w:p w14:paraId="2D9E6421" w14:textId="77777777" w:rsidR="00C216C2" w:rsidRPr="002E5414" w:rsidRDefault="00C216C2" w:rsidP="00A82A0B">
      <w:pPr>
        <w:spacing w:line="360" w:lineRule="auto"/>
        <w:ind w:left="2160" w:firstLine="720"/>
        <w:rPr>
          <w:rFonts w:ascii="Times New Roman" w:hAnsi="Times New Roman" w:cs="Times New Roman"/>
          <w:b/>
          <w:color w:val="000000" w:themeColor="text1"/>
          <w:sz w:val="28"/>
          <w:szCs w:val="28"/>
        </w:rPr>
      </w:pPr>
    </w:p>
    <w:p w14:paraId="3074096D" w14:textId="77777777" w:rsidR="00A82A0B" w:rsidRPr="002E5414" w:rsidRDefault="007D42BD" w:rsidP="00C216C2">
      <w:pPr>
        <w:spacing w:line="360" w:lineRule="auto"/>
        <w:ind w:left="2160" w:firstLine="720"/>
        <w:rPr>
          <w:rFonts w:ascii="Times New Roman" w:hAnsi="Times New Roman" w:cs="Times New Roman"/>
          <w:b/>
          <w:bCs/>
          <w:iCs/>
          <w:color w:val="000000" w:themeColor="text1"/>
          <w:sz w:val="28"/>
          <w:szCs w:val="28"/>
        </w:rPr>
      </w:pPr>
      <w:r w:rsidRPr="002E5414">
        <w:rPr>
          <w:rFonts w:ascii="Times New Roman" w:hAnsi="Times New Roman" w:cs="Times New Roman"/>
          <w:b/>
          <w:bCs/>
          <w:iCs/>
          <w:color w:val="000000" w:themeColor="text1"/>
          <w:sz w:val="28"/>
          <w:szCs w:val="28"/>
          <w:lang w:val="vi-VN"/>
        </w:rPr>
        <w:t xml:space="preserve">   </w:t>
      </w:r>
      <w:r w:rsidR="008F10DE" w:rsidRPr="002E5414">
        <w:rPr>
          <w:rFonts w:ascii="Times New Roman" w:hAnsi="Times New Roman" w:cs="Times New Roman"/>
          <w:b/>
          <w:bCs/>
          <w:iCs/>
          <w:color w:val="000000" w:themeColor="text1"/>
          <w:sz w:val="28"/>
          <w:szCs w:val="28"/>
          <w:lang w:val="vi-VN"/>
        </w:rPr>
        <w:t xml:space="preserve">    </w:t>
      </w:r>
    </w:p>
    <w:p w14:paraId="4B7B9DAC" w14:textId="77777777" w:rsidR="00896CF4" w:rsidRPr="002E5414" w:rsidRDefault="00896CF4" w:rsidP="00C216C2">
      <w:pPr>
        <w:spacing w:line="360" w:lineRule="auto"/>
        <w:ind w:left="2160" w:firstLine="720"/>
        <w:rPr>
          <w:rFonts w:ascii="Times New Roman" w:hAnsi="Times New Roman" w:cs="Times New Roman"/>
          <w:b/>
          <w:bCs/>
          <w:iCs/>
          <w:color w:val="000000" w:themeColor="text1"/>
          <w:sz w:val="28"/>
          <w:szCs w:val="28"/>
        </w:rPr>
      </w:pPr>
    </w:p>
    <w:p w14:paraId="0E25C3DA" w14:textId="68064973" w:rsidR="00896CF4" w:rsidRPr="002E5414" w:rsidRDefault="00896CF4" w:rsidP="00C216C2">
      <w:pPr>
        <w:spacing w:line="360" w:lineRule="auto"/>
        <w:ind w:left="2160" w:firstLine="720"/>
        <w:rPr>
          <w:rFonts w:ascii="Times New Roman" w:hAnsi="Times New Roman" w:cs="Times New Roman"/>
          <w:b/>
          <w:bCs/>
          <w:iCs/>
          <w:color w:val="000000" w:themeColor="text1"/>
          <w:sz w:val="28"/>
          <w:szCs w:val="28"/>
        </w:rPr>
      </w:pPr>
    </w:p>
    <w:p w14:paraId="543CA94D" w14:textId="77777777" w:rsidR="001E1442" w:rsidRPr="002E5414" w:rsidRDefault="001E1442" w:rsidP="00C216C2">
      <w:pPr>
        <w:spacing w:line="360" w:lineRule="auto"/>
        <w:ind w:left="2160" w:firstLine="720"/>
        <w:rPr>
          <w:rFonts w:ascii="Times New Roman" w:hAnsi="Times New Roman" w:cs="Times New Roman"/>
          <w:b/>
          <w:bCs/>
          <w:iCs/>
          <w:color w:val="000000" w:themeColor="text1"/>
          <w:sz w:val="28"/>
          <w:szCs w:val="28"/>
        </w:rPr>
      </w:pPr>
    </w:p>
    <w:p w14:paraId="6E9A605A" w14:textId="77777777" w:rsidR="00C216C2" w:rsidRPr="002E5414" w:rsidRDefault="00C216C2" w:rsidP="00C216C2">
      <w:pPr>
        <w:spacing w:line="360" w:lineRule="auto"/>
        <w:ind w:left="2160" w:firstLine="720"/>
        <w:rPr>
          <w:rFonts w:ascii="Times New Roman" w:hAnsi="Times New Roman" w:cs="Times New Roman"/>
          <w:b/>
          <w:bCs/>
          <w:iCs/>
          <w:color w:val="000000" w:themeColor="text1"/>
          <w:sz w:val="28"/>
          <w:szCs w:val="28"/>
          <w:lang w:val="vi-VN"/>
        </w:rPr>
      </w:pPr>
    </w:p>
    <w:p w14:paraId="336F6105" w14:textId="412C4A05" w:rsidR="000C5B0B" w:rsidRPr="002E5414" w:rsidRDefault="002A308D" w:rsidP="00C216C2">
      <w:pPr>
        <w:ind w:left="2160" w:hanging="2160"/>
        <w:jc w:val="center"/>
        <w:rPr>
          <w:rFonts w:ascii="Times New Roman" w:hAnsi="Times New Roman" w:cs="Times New Roman"/>
          <w:b/>
          <w:bCs/>
          <w:iCs/>
          <w:color w:val="000000" w:themeColor="text1"/>
          <w:sz w:val="28"/>
          <w:szCs w:val="28"/>
        </w:rPr>
        <w:sectPr w:rsidR="000C5B0B" w:rsidRPr="002E5414" w:rsidSect="00144CE5">
          <w:headerReference w:type="default" r:id="rId8"/>
          <w:footerReference w:type="default" r:id="rId9"/>
          <w:headerReference w:type="first" r:id="rId10"/>
          <w:footerReference w:type="first" r:id="rId11"/>
          <w:pgSz w:w="11909" w:h="16834" w:code="9"/>
          <w:pgMar w:top="1134" w:right="1134" w:bottom="1134" w:left="1985" w:header="539" w:footer="4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r w:rsidRPr="002E5414">
        <w:rPr>
          <w:rFonts w:ascii="Times New Roman" w:hAnsi="Times New Roman" w:cs="Times New Roman"/>
          <w:b/>
          <w:bCs/>
          <w:iCs/>
          <w:color w:val="000000" w:themeColor="text1"/>
          <w:sz w:val="28"/>
          <w:szCs w:val="28"/>
        </w:rPr>
        <w:t>Ha Noi</w:t>
      </w:r>
      <w:r w:rsidR="005D5226" w:rsidRPr="002E5414">
        <w:rPr>
          <w:rFonts w:ascii="Times New Roman" w:hAnsi="Times New Roman" w:cs="Times New Roman"/>
          <w:b/>
          <w:bCs/>
          <w:iCs/>
          <w:color w:val="000000" w:themeColor="text1"/>
          <w:sz w:val="28"/>
          <w:szCs w:val="28"/>
          <w:lang w:val="vi-VN"/>
        </w:rPr>
        <w:t>, 20</w:t>
      </w:r>
      <w:r w:rsidR="005C01FC" w:rsidRPr="002E5414">
        <w:rPr>
          <w:rFonts w:ascii="Times New Roman" w:hAnsi="Times New Roman" w:cs="Times New Roman"/>
          <w:b/>
          <w:bCs/>
          <w:iCs/>
          <w:color w:val="000000" w:themeColor="text1"/>
          <w:sz w:val="28"/>
          <w:szCs w:val="28"/>
          <w:lang w:val="vi-VN"/>
        </w:rPr>
        <w:t>2</w:t>
      </w:r>
      <w:r w:rsidR="00523933" w:rsidRPr="002E5414">
        <w:rPr>
          <w:rFonts w:ascii="Times New Roman" w:hAnsi="Times New Roman" w:cs="Times New Roman"/>
          <w:b/>
          <w:bCs/>
          <w:iCs/>
          <w:color w:val="000000" w:themeColor="text1"/>
          <w:sz w:val="28"/>
          <w:szCs w:val="28"/>
        </w:rPr>
        <w:t>6</w:t>
      </w:r>
    </w:p>
    <w:p w14:paraId="52E9CE43" w14:textId="77777777" w:rsidR="00C216C2" w:rsidRPr="002E5414" w:rsidRDefault="00C216C2" w:rsidP="00C216C2">
      <w:pPr>
        <w:ind w:left="2160" w:hanging="2160"/>
        <w:jc w:val="center"/>
        <w:rPr>
          <w:rFonts w:ascii="Times New Roman" w:hAnsi="Times New Roman" w:cs="Times New Roman"/>
          <w:b/>
          <w:bCs/>
          <w:iCs/>
          <w:color w:val="000000" w:themeColor="text1"/>
          <w:sz w:val="28"/>
          <w:szCs w:val="28"/>
          <w:lang w:val="vi-VN"/>
        </w:rPr>
      </w:pPr>
    </w:p>
    <w:p w14:paraId="693ECC65" w14:textId="52698D5B" w:rsidR="000C5B0B" w:rsidRPr="002E5414" w:rsidRDefault="002A308D" w:rsidP="00E9498E">
      <w:pPr>
        <w:jc w:val="center"/>
        <w:rPr>
          <w:rFonts w:ascii="Times New Roman" w:hAnsi="Times New Roman" w:cs="Times New Roman"/>
          <w:b/>
          <w:color w:val="000000" w:themeColor="text1"/>
          <w:sz w:val="28"/>
          <w:szCs w:val="28"/>
          <w:lang w:val="vi-VN"/>
        </w:rPr>
      </w:pPr>
      <w:r w:rsidRPr="002E5414">
        <w:rPr>
          <w:rFonts w:ascii="Times New Roman" w:hAnsi="Times New Roman" w:cs="Times New Roman"/>
          <w:color w:val="000000" w:themeColor="text1"/>
          <w:sz w:val="28"/>
          <w:szCs w:val="28"/>
        </w:rPr>
        <w:t>The dissertation was completed at:</w:t>
      </w:r>
      <w:r w:rsidR="00E9498E" w:rsidRPr="002E5414">
        <w:rPr>
          <w:rFonts w:ascii="Times New Roman" w:hAnsi="Times New Roman" w:cs="Times New Roman"/>
          <w:color w:val="000000" w:themeColor="text1"/>
          <w:sz w:val="28"/>
          <w:szCs w:val="28"/>
        </w:rPr>
        <w:t xml:space="preserve"> </w:t>
      </w:r>
      <w:r w:rsidRPr="002E5414">
        <w:rPr>
          <w:rFonts w:ascii="Times New Roman" w:hAnsi="Times New Roman" w:cs="Times New Roman"/>
          <w:color w:val="000000" w:themeColor="text1"/>
          <w:sz w:val="28"/>
          <w:szCs w:val="28"/>
        </w:rPr>
        <w:t>ACADEMY OF FINANCE</w:t>
      </w:r>
    </w:p>
    <w:p w14:paraId="293432E8" w14:textId="77777777" w:rsidR="000C5B0B" w:rsidRPr="002E5414" w:rsidRDefault="000C5B0B" w:rsidP="000C5B0B">
      <w:pPr>
        <w:rPr>
          <w:rFonts w:ascii="Times New Roman" w:hAnsi="Times New Roman" w:cs="Times New Roman"/>
          <w:b/>
          <w:color w:val="000000" w:themeColor="text1"/>
          <w:sz w:val="28"/>
          <w:szCs w:val="28"/>
          <w:lang w:val="vi-VN"/>
        </w:rPr>
      </w:pPr>
    </w:p>
    <w:p w14:paraId="5291BD8E" w14:textId="77777777" w:rsidR="000C5B0B" w:rsidRPr="002E5414" w:rsidRDefault="000C5B0B" w:rsidP="000C5B0B">
      <w:pPr>
        <w:rPr>
          <w:rFonts w:ascii="Times New Roman" w:hAnsi="Times New Roman" w:cs="Times New Roman"/>
          <w:color w:val="000000" w:themeColor="text1"/>
          <w:sz w:val="24"/>
        </w:rPr>
      </w:pPr>
    </w:p>
    <w:p w14:paraId="68E71EAC" w14:textId="77777777" w:rsidR="00E9498E" w:rsidRPr="002E5414" w:rsidRDefault="00E9498E" w:rsidP="000C5B0B">
      <w:pPr>
        <w:rPr>
          <w:rFonts w:ascii="Times New Roman" w:hAnsi="Times New Roman" w:cs="Times New Roman"/>
          <w:color w:val="000000" w:themeColor="text1"/>
          <w:sz w:val="24"/>
        </w:rPr>
      </w:pPr>
    </w:p>
    <w:p w14:paraId="1677D911" w14:textId="77777777" w:rsidR="00E9498E" w:rsidRPr="002E5414" w:rsidRDefault="00E9498E" w:rsidP="000C5B0B">
      <w:pPr>
        <w:rPr>
          <w:rFonts w:ascii="Times New Roman" w:hAnsi="Times New Roman" w:cs="Times New Roman"/>
          <w:color w:val="000000" w:themeColor="text1"/>
          <w:sz w:val="24"/>
        </w:rPr>
      </w:pPr>
    </w:p>
    <w:p w14:paraId="39D0D6E9" w14:textId="77777777" w:rsidR="00E9498E" w:rsidRPr="002E5414" w:rsidRDefault="00E9498E" w:rsidP="000C5B0B">
      <w:pPr>
        <w:rPr>
          <w:rFonts w:ascii="Times New Roman" w:hAnsi="Times New Roman" w:cs="Times New Roman"/>
          <w:color w:val="000000" w:themeColor="text1"/>
          <w:sz w:val="24"/>
        </w:rPr>
      </w:pPr>
    </w:p>
    <w:p w14:paraId="4C854361" w14:textId="77777777" w:rsidR="00E9498E" w:rsidRPr="002E5414" w:rsidRDefault="00E9498E" w:rsidP="000C5B0B">
      <w:pPr>
        <w:rPr>
          <w:rFonts w:ascii="Times New Roman" w:hAnsi="Times New Roman" w:cs="Times New Roman"/>
          <w:color w:val="000000" w:themeColor="text1"/>
          <w:sz w:val="24"/>
        </w:rPr>
      </w:pPr>
    </w:p>
    <w:p w14:paraId="52BE2516" w14:textId="44E10635" w:rsidR="00E9498E" w:rsidRPr="002E5414" w:rsidRDefault="002A308D" w:rsidP="00E9498E">
      <w:pPr>
        <w:autoSpaceDE w:val="0"/>
        <w:autoSpaceDN w:val="0"/>
        <w:adjustRightInd w:val="0"/>
        <w:spacing w:before="60" w:after="60"/>
        <w:ind w:right="710" w:firstLine="1134"/>
        <w:rPr>
          <w:rFonts w:ascii="Times New Roman" w:hAnsi="Times New Roman" w:cs="Times New Roman"/>
          <w:bCs/>
          <w:color w:val="000000" w:themeColor="text1"/>
          <w:sz w:val="28"/>
          <w:szCs w:val="28"/>
        </w:rPr>
      </w:pPr>
      <w:r w:rsidRPr="002E5414">
        <w:rPr>
          <w:rFonts w:ascii="Times New Roman" w:hAnsi="Times New Roman" w:cs="Times New Roman"/>
          <w:bCs/>
          <w:color w:val="000000" w:themeColor="text1"/>
          <w:sz w:val="28"/>
          <w:szCs w:val="28"/>
        </w:rPr>
        <w:t>Academic Supervisors</w:t>
      </w:r>
      <w:r w:rsidR="00E9498E" w:rsidRPr="002E5414">
        <w:rPr>
          <w:rFonts w:ascii="Times New Roman" w:hAnsi="Times New Roman" w:cs="Times New Roman"/>
          <w:bCs/>
          <w:color w:val="000000" w:themeColor="text1"/>
          <w:sz w:val="28"/>
          <w:szCs w:val="28"/>
          <w:lang w:val="vi-VN"/>
        </w:rPr>
        <w:t>:</w:t>
      </w:r>
    </w:p>
    <w:p w14:paraId="3D418814" w14:textId="77777777" w:rsidR="00E9498E" w:rsidRPr="002E5414" w:rsidRDefault="00E9498E" w:rsidP="00E9498E">
      <w:pPr>
        <w:autoSpaceDE w:val="0"/>
        <w:autoSpaceDN w:val="0"/>
        <w:adjustRightInd w:val="0"/>
        <w:spacing w:before="60" w:after="60"/>
        <w:ind w:right="710" w:firstLine="1134"/>
        <w:rPr>
          <w:rFonts w:ascii="Times New Roman" w:hAnsi="Times New Roman" w:cs="Times New Roman"/>
          <w:bCs/>
          <w:color w:val="000000" w:themeColor="text1"/>
          <w:sz w:val="28"/>
          <w:szCs w:val="28"/>
        </w:rPr>
      </w:pPr>
    </w:p>
    <w:p w14:paraId="63A195B5" w14:textId="0FC7D686" w:rsidR="00E9498E" w:rsidRPr="002E5414" w:rsidRDefault="002A308D" w:rsidP="00E9498E">
      <w:pPr>
        <w:spacing w:before="120" w:after="120"/>
        <w:ind w:right="710" w:firstLine="2268"/>
        <w:rPr>
          <w:rFonts w:ascii="Times New Roman" w:hAnsi="Times New Roman" w:cs="Times New Roman"/>
          <w:bCs/>
          <w:color w:val="000000" w:themeColor="text1"/>
          <w:sz w:val="28"/>
          <w:szCs w:val="28"/>
        </w:rPr>
      </w:pPr>
      <w:r w:rsidRPr="002E5414">
        <w:rPr>
          <w:rFonts w:ascii="Times New Roman" w:hAnsi="Times New Roman" w:cs="Times New Roman"/>
          <w:b/>
          <w:bCs/>
          <w:iCs/>
          <w:color w:val="000000" w:themeColor="text1"/>
          <w:szCs w:val="26"/>
        </w:rPr>
        <w:t>Assoc. Prof. Dr</w:t>
      </w:r>
      <w:r w:rsidRPr="002E5414">
        <w:rPr>
          <w:rFonts w:ascii="Times New Roman" w:hAnsi="Times New Roman" w:cs="Times New Roman"/>
          <w:b/>
          <w:iCs/>
          <w:color w:val="000000" w:themeColor="text1"/>
          <w:szCs w:val="26"/>
        </w:rPr>
        <w:t xml:space="preserve">. </w:t>
      </w:r>
      <w:r w:rsidRPr="002E5414">
        <w:rPr>
          <w:rFonts w:ascii="Times New Roman" w:hAnsi="Times New Roman" w:cs="Times New Roman"/>
          <w:b/>
          <w:iCs/>
          <w:color w:val="000000" w:themeColor="text1"/>
          <w:spacing w:val="-6"/>
          <w:szCs w:val="26"/>
        </w:rPr>
        <w:t>Ngo Thi Thu Hong</w:t>
      </w:r>
    </w:p>
    <w:p w14:paraId="48F91CFE" w14:textId="0A319891" w:rsidR="00E9498E" w:rsidRPr="002E5414" w:rsidRDefault="001E1442" w:rsidP="0058141E">
      <w:pPr>
        <w:spacing w:before="120" w:after="120"/>
        <w:ind w:firstLine="2835"/>
        <w:rPr>
          <w:rFonts w:ascii="Times New Roman" w:hAnsi="Times New Roman" w:cs="Times New Roman"/>
          <w:bCs/>
          <w:iCs/>
          <w:color w:val="000000" w:themeColor="text1"/>
          <w:sz w:val="28"/>
          <w:szCs w:val="28"/>
        </w:rPr>
      </w:pPr>
      <w:r w:rsidRPr="002E5414">
        <w:rPr>
          <w:rFonts w:ascii="Times New Roman" w:hAnsi="Times New Roman" w:cs="Times New Roman"/>
          <w:bCs/>
          <w:color w:val="000000" w:themeColor="text1"/>
          <w:sz w:val="28"/>
          <w:szCs w:val="28"/>
        </w:rPr>
        <w:t xml:space="preserve">         </w:t>
      </w:r>
      <w:r w:rsidR="002A308D" w:rsidRPr="002E5414">
        <w:rPr>
          <w:rFonts w:ascii="Times New Roman" w:hAnsi="Times New Roman" w:cs="Times New Roman"/>
          <w:bCs/>
          <w:color w:val="000000" w:themeColor="text1"/>
          <w:sz w:val="28"/>
          <w:szCs w:val="28"/>
        </w:rPr>
        <w:t xml:space="preserve">  </w:t>
      </w:r>
      <w:r w:rsidR="002A308D" w:rsidRPr="002E5414">
        <w:rPr>
          <w:rFonts w:ascii="Times New Roman" w:hAnsi="Times New Roman" w:cs="Times New Roman"/>
          <w:b/>
          <w:bCs/>
          <w:iCs/>
          <w:color w:val="000000" w:themeColor="text1"/>
          <w:szCs w:val="26"/>
        </w:rPr>
        <w:t>Dr</w:t>
      </w:r>
      <w:r w:rsidR="002A308D" w:rsidRPr="002E5414">
        <w:rPr>
          <w:rFonts w:ascii="Times New Roman" w:hAnsi="Times New Roman" w:cs="Times New Roman"/>
          <w:b/>
          <w:iCs/>
          <w:color w:val="000000" w:themeColor="text1"/>
          <w:szCs w:val="26"/>
        </w:rPr>
        <w:t xml:space="preserve">. </w:t>
      </w:r>
      <w:r w:rsidR="002A308D" w:rsidRPr="002E5414">
        <w:rPr>
          <w:rFonts w:ascii="Times New Roman" w:hAnsi="Times New Roman" w:cs="Times New Roman"/>
          <w:b/>
          <w:iCs/>
          <w:color w:val="000000" w:themeColor="text1"/>
          <w:spacing w:val="-6"/>
          <w:szCs w:val="26"/>
        </w:rPr>
        <w:t>Bui Thi Thu Huong</w:t>
      </w:r>
    </w:p>
    <w:p w14:paraId="3C21D12B" w14:textId="77777777" w:rsidR="000C5B0B" w:rsidRPr="002E5414" w:rsidRDefault="000C5B0B" w:rsidP="00E9498E">
      <w:pPr>
        <w:rPr>
          <w:rFonts w:ascii="Times New Roman" w:hAnsi="Times New Roman" w:cs="Times New Roman"/>
          <w:bCs/>
          <w:color w:val="000000" w:themeColor="text1"/>
          <w:sz w:val="24"/>
        </w:rPr>
      </w:pPr>
    </w:p>
    <w:p w14:paraId="13919B0D" w14:textId="77777777" w:rsidR="00F441DA" w:rsidRPr="002E5414" w:rsidRDefault="00F441DA" w:rsidP="000C5B0B">
      <w:pPr>
        <w:rPr>
          <w:rFonts w:ascii="Times New Roman" w:hAnsi="Times New Roman" w:cs="Times New Roman"/>
          <w:color w:val="000000" w:themeColor="text1"/>
          <w:sz w:val="24"/>
        </w:rPr>
      </w:pPr>
    </w:p>
    <w:p w14:paraId="78623DA1" w14:textId="77777777" w:rsidR="000C5B0B" w:rsidRPr="002E5414" w:rsidRDefault="000C5B0B" w:rsidP="000C5B0B">
      <w:pPr>
        <w:rPr>
          <w:rFonts w:ascii="Times New Roman" w:hAnsi="Times New Roman" w:cs="Times New Roman"/>
          <w:color w:val="000000" w:themeColor="text1"/>
          <w:sz w:val="24"/>
          <w:lang w:val="vi-VN"/>
        </w:rPr>
      </w:pPr>
    </w:p>
    <w:p w14:paraId="6BE32F9D" w14:textId="77777777" w:rsidR="000C5B0B" w:rsidRPr="002E5414" w:rsidRDefault="000C5B0B" w:rsidP="000C5B0B">
      <w:pPr>
        <w:rPr>
          <w:rFonts w:ascii="Times New Roman" w:hAnsi="Times New Roman" w:cs="Times New Roman"/>
          <w:color w:val="000000" w:themeColor="text1"/>
          <w:sz w:val="24"/>
          <w:lang w:val="vi-VN"/>
        </w:rPr>
      </w:pPr>
    </w:p>
    <w:p w14:paraId="267CE45A" w14:textId="77777777" w:rsidR="00F441DA" w:rsidRPr="002E5414" w:rsidRDefault="00F441DA" w:rsidP="00F441DA">
      <w:pPr>
        <w:spacing w:before="120" w:after="120" w:line="324" w:lineRule="auto"/>
        <w:jc w:val="center"/>
        <w:rPr>
          <w:rFonts w:ascii="Times New Roman" w:hAnsi="Times New Roman" w:cs="Times New Roman"/>
          <w:b/>
          <w:bCs/>
          <w:color w:val="000000" w:themeColor="text1"/>
          <w:spacing w:val="6"/>
          <w:sz w:val="28"/>
          <w:szCs w:val="28"/>
        </w:rPr>
      </w:pPr>
    </w:p>
    <w:p w14:paraId="5FE0CAAC" w14:textId="7CE5AD5D" w:rsidR="00F441DA" w:rsidRPr="002E5414" w:rsidRDefault="002A308D" w:rsidP="00E9498E">
      <w:pPr>
        <w:spacing w:before="120" w:after="120" w:line="360" w:lineRule="auto"/>
        <w:ind w:left="425" w:right="284"/>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Reviewer</w:t>
      </w:r>
      <w:r w:rsidR="00E9498E" w:rsidRPr="002E5414">
        <w:rPr>
          <w:rFonts w:ascii="Times New Roman" w:hAnsi="Times New Roman" w:cs="Times New Roman"/>
          <w:color w:val="000000" w:themeColor="text1"/>
          <w:spacing w:val="6"/>
          <w:sz w:val="28"/>
          <w:szCs w:val="28"/>
        </w:rPr>
        <w:t xml:space="preserve"> 1: …...…………………………….……………………….</w:t>
      </w:r>
    </w:p>
    <w:p w14:paraId="52697ACE" w14:textId="70CB13E8" w:rsidR="00E9498E" w:rsidRPr="002E5414" w:rsidRDefault="00E9498E" w:rsidP="00E9498E">
      <w:pPr>
        <w:spacing w:before="120" w:after="120" w:line="360" w:lineRule="auto"/>
        <w:ind w:left="425" w:right="284"/>
        <w:jc w:val="center"/>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w:t>
      </w:r>
    </w:p>
    <w:p w14:paraId="72C2FA47" w14:textId="6FFA06CA" w:rsidR="00E9498E" w:rsidRPr="002E5414" w:rsidRDefault="002A308D" w:rsidP="00E9498E">
      <w:pPr>
        <w:spacing w:before="120" w:after="120" w:line="360" w:lineRule="auto"/>
        <w:ind w:left="425" w:right="284"/>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Reviewer</w:t>
      </w:r>
      <w:r w:rsidR="00E9498E" w:rsidRPr="002E5414">
        <w:rPr>
          <w:rFonts w:ascii="Times New Roman" w:hAnsi="Times New Roman" w:cs="Times New Roman"/>
          <w:color w:val="000000" w:themeColor="text1"/>
          <w:spacing w:val="6"/>
          <w:sz w:val="28"/>
          <w:szCs w:val="28"/>
        </w:rPr>
        <w:t xml:space="preserve"> 2: …...…………………………….……………………….</w:t>
      </w:r>
    </w:p>
    <w:p w14:paraId="3D0866B6" w14:textId="77777777" w:rsidR="00E9498E" w:rsidRPr="002E5414" w:rsidRDefault="00E9498E" w:rsidP="00E9498E">
      <w:pPr>
        <w:spacing w:before="120" w:after="120" w:line="360" w:lineRule="auto"/>
        <w:ind w:left="425" w:right="284"/>
        <w:jc w:val="center"/>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w:t>
      </w:r>
    </w:p>
    <w:p w14:paraId="2D2E9934" w14:textId="5DC2A21C" w:rsidR="00E9498E" w:rsidRPr="002E5414" w:rsidRDefault="002A308D" w:rsidP="00E9498E">
      <w:pPr>
        <w:spacing w:before="120" w:after="120" w:line="360" w:lineRule="auto"/>
        <w:ind w:left="425" w:right="284"/>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Reviewer</w:t>
      </w:r>
      <w:r w:rsidR="00E9498E" w:rsidRPr="002E5414">
        <w:rPr>
          <w:rFonts w:ascii="Times New Roman" w:hAnsi="Times New Roman" w:cs="Times New Roman"/>
          <w:color w:val="000000" w:themeColor="text1"/>
          <w:spacing w:val="6"/>
          <w:sz w:val="28"/>
          <w:szCs w:val="28"/>
        </w:rPr>
        <w:t xml:space="preserve"> 3: …...…………………………….……………………….</w:t>
      </w:r>
    </w:p>
    <w:p w14:paraId="6FB836E1" w14:textId="77777777" w:rsidR="00E9498E" w:rsidRPr="002E5414" w:rsidRDefault="00E9498E" w:rsidP="00E9498E">
      <w:pPr>
        <w:spacing w:before="120" w:after="120" w:line="360" w:lineRule="auto"/>
        <w:ind w:left="425" w:right="284"/>
        <w:jc w:val="center"/>
        <w:rPr>
          <w:rFonts w:ascii="Times New Roman" w:hAnsi="Times New Roman" w:cs="Times New Roman"/>
          <w:color w:val="000000" w:themeColor="text1"/>
          <w:spacing w:val="6"/>
          <w:sz w:val="28"/>
          <w:szCs w:val="28"/>
        </w:rPr>
      </w:pPr>
      <w:r w:rsidRPr="002E5414">
        <w:rPr>
          <w:rFonts w:ascii="Times New Roman" w:hAnsi="Times New Roman" w:cs="Times New Roman"/>
          <w:color w:val="000000" w:themeColor="text1"/>
          <w:spacing w:val="6"/>
          <w:sz w:val="28"/>
          <w:szCs w:val="28"/>
        </w:rPr>
        <w:t>..………….……………………………………………………………</w:t>
      </w:r>
    </w:p>
    <w:p w14:paraId="7B65CC66" w14:textId="77777777" w:rsidR="000C5B0B" w:rsidRPr="002E5414" w:rsidRDefault="000C5B0B" w:rsidP="000C5B0B">
      <w:pPr>
        <w:spacing w:line="360" w:lineRule="auto"/>
        <w:jc w:val="center"/>
        <w:rPr>
          <w:rFonts w:ascii="Times New Roman" w:hAnsi="Times New Roman" w:cs="Times New Roman"/>
          <w:b/>
          <w:color w:val="000000" w:themeColor="text1"/>
          <w:sz w:val="27"/>
          <w:szCs w:val="27"/>
          <w:lang w:val="vi-VN"/>
        </w:rPr>
      </w:pPr>
    </w:p>
    <w:p w14:paraId="0B5F572D" w14:textId="77777777" w:rsidR="000C5B0B" w:rsidRPr="002E5414" w:rsidRDefault="000C5B0B" w:rsidP="000C5B0B">
      <w:pPr>
        <w:spacing w:line="360" w:lineRule="auto"/>
        <w:jc w:val="center"/>
        <w:rPr>
          <w:rFonts w:ascii="Times New Roman" w:hAnsi="Times New Roman" w:cs="Times New Roman"/>
          <w:color w:val="000000" w:themeColor="text1"/>
          <w:szCs w:val="26"/>
          <w:lang w:val="vi-VN"/>
        </w:rPr>
      </w:pPr>
    </w:p>
    <w:p w14:paraId="6961AE69" w14:textId="77777777" w:rsidR="000C5B0B" w:rsidRPr="002E5414" w:rsidRDefault="000C5B0B" w:rsidP="000C5B0B">
      <w:pPr>
        <w:jc w:val="center"/>
        <w:rPr>
          <w:rFonts w:ascii="Times New Roman" w:hAnsi="Times New Roman" w:cs="Times New Roman"/>
          <w:i/>
          <w:iCs/>
          <w:color w:val="000000" w:themeColor="text1"/>
          <w:szCs w:val="26"/>
          <w:lang w:val="vi-VN"/>
        </w:rPr>
      </w:pPr>
    </w:p>
    <w:p w14:paraId="2B420DDD" w14:textId="77777777" w:rsidR="000C5B0B" w:rsidRPr="002E5414" w:rsidRDefault="000C5B0B" w:rsidP="00F441DA">
      <w:pPr>
        <w:tabs>
          <w:tab w:val="left" w:pos="7513"/>
          <w:tab w:val="left" w:pos="7938"/>
        </w:tabs>
        <w:jc w:val="right"/>
        <w:rPr>
          <w:rFonts w:ascii="Times New Roman" w:hAnsi="Times New Roman" w:cs="Times New Roman"/>
          <w:b/>
          <w:bCs/>
          <w:iCs/>
          <w:color w:val="000000" w:themeColor="text1"/>
          <w:sz w:val="28"/>
          <w:szCs w:val="28"/>
          <w:lang w:val="vi-VN"/>
        </w:rPr>
      </w:pPr>
    </w:p>
    <w:p w14:paraId="201AB253" w14:textId="77777777" w:rsidR="000C5B0B" w:rsidRPr="002E5414" w:rsidRDefault="000C5B0B" w:rsidP="000C5B0B">
      <w:pPr>
        <w:spacing w:line="360" w:lineRule="auto"/>
        <w:ind w:left="2160" w:firstLine="720"/>
        <w:rPr>
          <w:rFonts w:ascii="Times New Roman" w:hAnsi="Times New Roman" w:cs="Times New Roman"/>
          <w:b/>
          <w:bCs/>
          <w:iCs/>
          <w:color w:val="000000" w:themeColor="text1"/>
          <w:sz w:val="28"/>
          <w:szCs w:val="28"/>
        </w:rPr>
      </w:pPr>
      <w:r w:rsidRPr="002E5414">
        <w:rPr>
          <w:rFonts w:ascii="Times New Roman" w:hAnsi="Times New Roman" w:cs="Times New Roman"/>
          <w:b/>
          <w:bCs/>
          <w:iCs/>
          <w:color w:val="000000" w:themeColor="text1"/>
          <w:sz w:val="28"/>
          <w:szCs w:val="28"/>
          <w:lang w:val="vi-VN"/>
        </w:rPr>
        <w:t xml:space="preserve">         </w:t>
      </w:r>
    </w:p>
    <w:p w14:paraId="7B4ED785" w14:textId="77777777" w:rsidR="00743F3C" w:rsidRPr="002E5414" w:rsidRDefault="00743F3C" w:rsidP="000C5B0B">
      <w:pPr>
        <w:spacing w:line="360" w:lineRule="auto"/>
        <w:ind w:left="2160" w:firstLine="720"/>
        <w:rPr>
          <w:rFonts w:ascii="Times New Roman" w:hAnsi="Times New Roman" w:cs="Times New Roman"/>
          <w:b/>
          <w:bCs/>
          <w:iCs/>
          <w:color w:val="000000" w:themeColor="text1"/>
          <w:sz w:val="28"/>
          <w:szCs w:val="28"/>
        </w:rPr>
      </w:pPr>
    </w:p>
    <w:p w14:paraId="3B37E83A" w14:textId="77777777" w:rsidR="000C5B0B" w:rsidRPr="002E5414" w:rsidRDefault="000C5B0B" w:rsidP="000C5B0B">
      <w:pPr>
        <w:spacing w:line="360" w:lineRule="auto"/>
        <w:ind w:left="2160" w:hanging="2160"/>
        <w:jc w:val="center"/>
        <w:rPr>
          <w:rFonts w:ascii="Times New Roman" w:hAnsi="Times New Roman" w:cs="Times New Roman"/>
          <w:b/>
          <w:bCs/>
          <w:iCs/>
          <w:color w:val="000000" w:themeColor="text1"/>
          <w:sz w:val="28"/>
          <w:szCs w:val="28"/>
          <w:lang w:val="vi-VN"/>
        </w:rPr>
      </w:pPr>
    </w:p>
    <w:p w14:paraId="6AD4DD3F" w14:textId="14A1ECA5" w:rsidR="003745DB" w:rsidRPr="002E5414" w:rsidRDefault="002A308D" w:rsidP="00743F3C">
      <w:pPr>
        <w:spacing w:line="360" w:lineRule="auto"/>
        <w:ind w:left="142"/>
        <w:jc w:val="center"/>
        <w:rPr>
          <w:rFonts w:ascii="Times New Roman" w:hAnsi="Times New Roman" w:cs="Times New Roman"/>
          <w:iCs/>
          <w:color w:val="000000" w:themeColor="text1"/>
          <w:sz w:val="28"/>
          <w:szCs w:val="28"/>
        </w:rPr>
        <w:sectPr w:rsidR="003745DB" w:rsidRPr="002E5414" w:rsidSect="00144CE5">
          <w:headerReference w:type="first" r:id="rId12"/>
          <w:pgSz w:w="11909" w:h="16834" w:code="9"/>
          <w:pgMar w:top="1134" w:right="1134" w:bottom="1134" w:left="1985" w:header="539" w:footer="420"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titlePg/>
          <w:docGrid w:linePitch="360"/>
        </w:sectPr>
      </w:pPr>
      <w:r w:rsidRPr="002E5414">
        <w:rPr>
          <w:rFonts w:ascii="Times New Roman" w:hAnsi="Times New Roman" w:cs="Times New Roman"/>
          <w:iCs/>
          <w:color w:val="000000" w:themeColor="text1"/>
          <w:sz w:val="28"/>
          <w:szCs w:val="28"/>
        </w:rPr>
        <w:t>The dissertation will be defended before the Academy-level Dissertation Examination Committee at the Academy of Finance at ……… on ………, ………, ……… .</w:t>
      </w:r>
      <w:r w:rsidR="00743F3C" w:rsidRPr="002E5414">
        <w:rPr>
          <w:rFonts w:ascii="Times New Roman" w:hAnsi="Times New Roman" w:cs="Times New Roman"/>
          <w:iCs/>
          <w:color w:val="000000" w:themeColor="text1"/>
          <w:sz w:val="28"/>
          <w:szCs w:val="28"/>
        </w:rPr>
        <w:t xml:space="preserve"> </w:t>
      </w:r>
    </w:p>
    <w:p w14:paraId="779F016D" w14:textId="19466ABF" w:rsidR="00896CF4" w:rsidRPr="002E5414" w:rsidRDefault="002A308D" w:rsidP="000B0E53">
      <w:pPr>
        <w:pStyle w:val="11"/>
        <w:spacing w:before="0" w:after="0"/>
        <w:jc w:val="center"/>
        <w:outlineLvl w:val="0"/>
        <w:rPr>
          <w:color w:val="000000" w:themeColor="text1"/>
          <w:lang w:val="en-US"/>
        </w:rPr>
      </w:pPr>
      <w:r w:rsidRPr="002E5414">
        <w:rPr>
          <w:color w:val="000000" w:themeColor="text1"/>
        </w:rPr>
        <w:lastRenderedPageBreak/>
        <w:t>INTRODUCTION</w:t>
      </w:r>
    </w:p>
    <w:p w14:paraId="0534A065" w14:textId="0C36A6C3" w:rsidR="00C315DB" w:rsidRPr="002E5414" w:rsidRDefault="00C315DB" w:rsidP="00C315DB">
      <w:pPr>
        <w:spacing w:line="360" w:lineRule="auto"/>
        <w:jc w:val="both"/>
        <w:rPr>
          <w:rFonts w:ascii="Times New Roman" w:hAnsi="Times New Roman" w:cs="Times New Roman"/>
          <w:b/>
          <w:bCs/>
          <w:noProof/>
          <w:color w:val="000000" w:themeColor="text1"/>
          <w:kern w:val="32"/>
          <w:szCs w:val="26"/>
          <w:lang w:val="vi-VN"/>
        </w:rPr>
      </w:pPr>
      <w:bookmarkStart w:id="0" w:name="_Toc483084217"/>
      <w:bookmarkStart w:id="1" w:name="_Toc216648172"/>
      <w:r w:rsidRPr="002E5414">
        <w:rPr>
          <w:rFonts w:ascii="Times New Roman" w:hAnsi="Times New Roman" w:cs="Times New Roman"/>
          <w:b/>
          <w:bCs/>
          <w:noProof/>
          <w:color w:val="000000" w:themeColor="text1"/>
          <w:kern w:val="32"/>
          <w:szCs w:val="26"/>
          <w:lang w:val="vi-VN"/>
        </w:rPr>
        <w:t xml:space="preserve">1. </w:t>
      </w:r>
      <w:r w:rsidR="00B8228E" w:rsidRPr="002E5414">
        <w:rPr>
          <w:rFonts w:ascii="Times New Roman" w:hAnsi="Times New Roman" w:cs="Times New Roman"/>
          <w:b/>
          <w:bCs/>
          <w:noProof/>
          <w:color w:val="000000" w:themeColor="text1"/>
          <w:kern w:val="32"/>
          <w:szCs w:val="26"/>
          <w:lang w:val="vi-VN"/>
        </w:rPr>
        <w:t>The rationale of the study</w:t>
      </w:r>
    </w:p>
    <w:p w14:paraId="4EF9F724" w14:textId="77777777"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In the context of Vietnam’s deepening international economic integration, the healthcare sector has undergone profound reforms. A primary shift is the implementation of financial autonomy for Public Service Units (PSUs), as governed by legal frameworks such as Decree No. 60/2021/ND-CP and Decree No. 111/2025/ND-CP. This policy has established an expansive framework that enables public service units in general, and public hospitals in particular, to exercise greater operational initiative, reduce fiscal reliance on the State budget, improve service quality, and strengthen the position of the national medical sector.</w:t>
      </w:r>
    </w:p>
    <w:p w14:paraId="668AFF9C" w14:textId="77777777"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However, this transition has introduced significant challenges. Public hospitals face severe financial strain because healthcare service prices are not yet calculated based on a "full-cost" recovery model, leading to revenues that are insufficient to cover operational expenses and reinvestment. An excessive reliance on Health Insurance reimbursements further heightens financial risks. Moreover, human resource competition is intensifying, characterized by a "brain drain" of highly skilled medical professionals to the private sector due to income disparities. Complex administrative regulations and constraints in leveraging public assets also act as barriers, hindering the operational flexibility of healthcare units.</w:t>
      </w:r>
    </w:p>
    <w:p w14:paraId="7D7CF436" w14:textId="77777777"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Notably, amidst the ongoing policy of merging provincial and commune-level administrative units, the public healthcare system in Vietnam—and specifically in the Mekong Delta (MD)—is facing systemic transformations. These mergers necessitate the restructuring of hospitals, clinics, and other medical facilities, leading to substantial disruptions in organizational structure, personnel, assets, and particularly in financial and accounting operations. Such changes demand that hospitals be prepared to adapt promptly; failure to do so risks operational discontinuity and a lack of management synchronization.</w:t>
      </w:r>
    </w:p>
    <w:p w14:paraId="3DB1B514" w14:textId="414B097F"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rPr>
      </w:pPr>
      <w:r w:rsidRPr="002E5414">
        <w:rPr>
          <w:rFonts w:ascii="Times New Roman" w:hAnsi="Times New Roman" w:cs="Times New Roman"/>
          <w:noProof/>
          <w:color w:val="000000" w:themeColor="text1"/>
          <w:kern w:val="32"/>
          <w:szCs w:val="26"/>
          <w:lang w:val="vi-VN"/>
        </w:rPr>
        <w:t xml:space="preserve">According to the Law on Accounting No. 88/2015, public units must establish a comprehensive, scientific accounting system tailored to their specific operational characteristics. </w:t>
      </w:r>
      <w:r w:rsidR="00346170" w:rsidRPr="002E5414">
        <w:rPr>
          <w:rFonts w:ascii="Times New Roman" w:hAnsi="Times New Roman" w:cs="Times New Roman"/>
          <w:noProof/>
          <w:color w:val="000000" w:themeColor="text1"/>
          <w:kern w:val="32"/>
          <w:szCs w:val="26"/>
          <w:lang w:val="vi-VN"/>
        </w:rPr>
        <w:t xml:space="preserve">To further operationalize this requirement, new regulatory instruments have been introduced, including the Vietnamese Public Sector Accounting Standards (VPSAS) and, most recently, Circular No. 24/2024/TT-BTC, which replaces Circular No. 107/2017/TT-BTC. In addition, the introduction of VPSAS and Circular No. </w:t>
      </w:r>
      <w:r w:rsidR="00346170" w:rsidRPr="002E5414">
        <w:rPr>
          <w:rFonts w:ascii="Times New Roman" w:hAnsi="Times New Roman" w:cs="Times New Roman"/>
          <w:noProof/>
          <w:color w:val="000000" w:themeColor="text1"/>
          <w:kern w:val="32"/>
          <w:szCs w:val="26"/>
          <w:lang w:val="vi-VN"/>
        </w:rPr>
        <w:lastRenderedPageBreak/>
        <w:t>24/2024/TT-BTC has established a more robust legal framework, enabling public service delivery units to measure, recognize, and present financial information in a more transparent and useful manner. However, the transition from the previous regulatory framework to these accounting standards and requirements is a complex and challenging process.</w:t>
      </w:r>
      <w:r w:rsidR="00346170" w:rsidRPr="002E5414">
        <w:rPr>
          <w:rFonts w:ascii="Times New Roman" w:hAnsi="Times New Roman" w:cs="Times New Roman"/>
          <w:noProof/>
          <w:color w:val="000000" w:themeColor="text1"/>
          <w:kern w:val="32"/>
          <w:szCs w:val="26"/>
        </w:rPr>
        <w:t xml:space="preserve"> </w:t>
      </w:r>
    </w:p>
    <w:p w14:paraId="657C84AC" w14:textId="6E7F61F6"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Despite central-level efforts, public hospitals in the Mekong Delta remain hindered when applying these new regulations. The most prominent challenges include a lack of synchronization in financial reporting, templates that do not satisfy State Treasury requirements, and accounting processes that remain manual and time-consuming. If these bottlenecks are not addressed, they will obstruct hospitals from realizing their full potential for autonomy. Previous studies on accounting in public service units—such as those by Le Kim Ngoc (2009), Le Thi Thanh Huong (2012), Bui Thi Yen Linh (2014)</w:t>
      </w:r>
      <w:r w:rsidR="00346170" w:rsidRPr="002E5414">
        <w:rPr>
          <w:rFonts w:ascii="Times New Roman" w:hAnsi="Times New Roman" w:cs="Times New Roman"/>
          <w:noProof/>
          <w:color w:val="000000" w:themeColor="text1"/>
          <w:kern w:val="32"/>
          <w:szCs w:val="26"/>
        </w:rPr>
        <w:t>, Phan Thi Kieu Tien (2019), and Truong Van Duong  et al., (2023)</w:t>
      </w:r>
      <w:r w:rsidRPr="002E5414">
        <w:rPr>
          <w:rFonts w:ascii="Times New Roman" w:hAnsi="Times New Roman" w:cs="Times New Roman"/>
          <w:noProof/>
          <w:color w:val="000000" w:themeColor="text1"/>
          <w:kern w:val="32"/>
          <w:szCs w:val="26"/>
          <w:lang w:val="vi-VN"/>
        </w:rPr>
        <w:t>—identified existing shortcomings and proposed solutions. However, these works remain limited: 1) they lack a comprehensive, systematic theoretical study of accounting organization in the context of autonomy and administrative mergers; 2) they lack in-depth research on accounting from an Information Systems perspective, particularly regarding management accounting in MD public hospitals; and 3) the proposed solutions are not sufficiently tailored to the modern context, especially concerning Information Technology (IT) integration. The most significant gap is the lack of specialized and holistic research on the organization of accounting in public hospitals during the implementation phase of the public sector accounting regime</w:t>
      </w:r>
      <w:r w:rsidR="004F1641" w:rsidRPr="002E5414">
        <w:rPr>
          <w:rFonts w:ascii="Times New Roman" w:hAnsi="Times New Roman" w:cs="Times New Roman"/>
          <w:noProof/>
          <w:color w:val="000000" w:themeColor="text1"/>
          <w:kern w:val="32"/>
          <w:szCs w:val="26"/>
        </w:rPr>
        <w:t xml:space="preserve"> (</w:t>
      </w:r>
      <w:r w:rsidR="004F1641" w:rsidRPr="002E5414">
        <w:rPr>
          <w:rFonts w:ascii="Times New Roman" w:hAnsi="Times New Roman" w:cs="Times New Roman"/>
          <w:noProof/>
          <w:color w:val="000000" w:themeColor="text1"/>
          <w:kern w:val="32"/>
          <w:szCs w:val="26"/>
          <w:lang w:val="vi-VN"/>
        </w:rPr>
        <w:t>Circular No. 24/2024/TT-BTC</w:t>
      </w:r>
      <w:r w:rsidR="004F1641" w:rsidRPr="002E5414">
        <w:rPr>
          <w:rFonts w:ascii="Times New Roman" w:hAnsi="Times New Roman" w:cs="Times New Roman"/>
          <w:noProof/>
          <w:color w:val="000000" w:themeColor="text1"/>
          <w:kern w:val="32"/>
          <w:szCs w:val="26"/>
        </w:rPr>
        <w:t>)</w:t>
      </w:r>
      <w:r w:rsidRPr="002E5414">
        <w:rPr>
          <w:rFonts w:ascii="Times New Roman" w:hAnsi="Times New Roman" w:cs="Times New Roman"/>
          <w:noProof/>
          <w:color w:val="000000" w:themeColor="text1"/>
          <w:kern w:val="32"/>
          <w:szCs w:val="26"/>
          <w:lang w:val="vi-VN"/>
        </w:rPr>
        <w:t>, incorporating an analysis of the socio-economic and infrastructural factors specific to the Mekong Delta.</w:t>
      </w:r>
    </w:p>
    <w:p w14:paraId="74FAB477" w14:textId="1B5D1049" w:rsidR="00C315DB" w:rsidRPr="002E5414" w:rsidRDefault="00C315DB" w:rsidP="00C315DB">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Consequently, research on the "</w:t>
      </w:r>
      <w:r w:rsidRPr="002E5414">
        <w:rPr>
          <w:rFonts w:ascii="Times New Roman" w:hAnsi="Times New Roman" w:cs="Times New Roman"/>
          <w:i/>
          <w:iCs/>
          <w:noProof/>
          <w:color w:val="000000" w:themeColor="text1"/>
          <w:kern w:val="32"/>
          <w:szCs w:val="26"/>
          <w:lang w:val="vi-VN"/>
        </w:rPr>
        <w:t xml:space="preserve">Organization of Accounting </w:t>
      </w:r>
      <w:r w:rsidR="0058141E" w:rsidRPr="002E5414">
        <w:rPr>
          <w:rFonts w:ascii="Times New Roman" w:hAnsi="Times New Roman" w:cs="Times New Roman"/>
          <w:i/>
          <w:iCs/>
          <w:noProof/>
          <w:color w:val="000000" w:themeColor="text1"/>
          <w:kern w:val="32"/>
          <w:szCs w:val="26"/>
        </w:rPr>
        <w:t>Practice</w:t>
      </w:r>
      <w:r w:rsidRPr="002E5414">
        <w:rPr>
          <w:rFonts w:ascii="Times New Roman" w:hAnsi="Times New Roman" w:cs="Times New Roman"/>
          <w:i/>
          <w:iCs/>
          <w:noProof/>
          <w:color w:val="000000" w:themeColor="text1"/>
          <w:kern w:val="32"/>
          <w:szCs w:val="26"/>
          <w:lang w:val="vi-VN"/>
        </w:rPr>
        <w:t>s in Public Hospitals in the Mekong Delta</w:t>
      </w:r>
      <w:r w:rsidRPr="002E5414">
        <w:rPr>
          <w:rFonts w:ascii="Times New Roman" w:hAnsi="Times New Roman" w:cs="Times New Roman"/>
          <w:noProof/>
          <w:color w:val="000000" w:themeColor="text1"/>
          <w:kern w:val="32"/>
          <w:szCs w:val="26"/>
          <w:lang w:val="vi-VN"/>
        </w:rPr>
        <w:t>" is importan</w:t>
      </w:r>
      <w:r w:rsidR="0058141E" w:rsidRPr="002E5414">
        <w:rPr>
          <w:rFonts w:ascii="Times New Roman" w:hAnsi="Times New Roman" w:cs="Times New Roman"/>
          <w:noProof/>
          <w:color w:val="000000" w:themeColor="text1"/>
          <w:kern w:val="32"/>
          <w:szCs w:val="26"/>
        </w:rPr>
        <w:t>t</w:t>
      </w:r>
      <w:r w:rsidRPr="002E5414">
        <w:rPr>
          <w:rFonts w:ascii="Times New Roman" w:hAnsi="Times New Roman" w:cs="Times New Roman"/>
          <w:noProof/>
          <w:color w:val="000000" w:themeColor="text1"/>
          <w:kern w:val="32"/>
          <w:szCs w:val="26"/>
          <w:lang w:val="vi-VN"/>
        </w:rPr>
        <w:t xml:space="preserve">. This </w:t>
      </w:r>
      <w:r w:rsidR="002D20D4" w:rsidRPr="002E5414">
        <w:rPr>
          <w:rFonts w:ascii="Times New Roman" w:hAnsi="Times New Roman" w:cs="Times New Roman"/>
          <w:noProof/>
          <w:color w:val="000000" w:themeColor="text1"/>
          <w:kern w:val="32"/>
          <w:szCs w:val="26"/>
          <w:lang w:val="vi-VN"/>
        </w:rPr>
        <w:t>dissertation</w:t>
      </w:r>
      <w:r w:rsidRPr="002E5414">
        <w:rPr>
          <w:rFonts w:ascii="Times New Roman" w:hAnsi="Times New Roman" w:cs="Times New Roman"/>
          <w:noProof/>
          <w:color w:val="000000" w:themeColor="text1"/>
          <w:kern w:val="32"/>
          <w:szCs w:val="26"/>
          <w:lang w:val="vi-VN"/>
        </w:rPr>
        <w:t xml:space="preserve"> provides an in-depth analysis of the current status, identifies limitations, and proposes specific, feasible solutions to improve the accounting organizational structure in MD public hospitals. These contributions aim to support development, enhance financial management efficiency, and optimize the application of information technology.</w:t>
      </w:r>
    </w:p>
    <w:p w14:paraId="50EA2E58" w14:textId="752F8C3B" w:rsidR="00C315DB" w:rsidRPr="002E5414" w:rsidRDefault="00C315DB" w:rsidP="00C315DB">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 xml:space="preserve">2. </w:t>
      </w:r>
      <w:r w:rsidR="00346170" w:rsidRPr="002E5414">
        <w:rPr>
          <w:rFonts w:ascii="Times New Roman" w:hAnsi="Times New Roman" w:cs="Times New Roman"/>
          <w:b/>
          <w:bCs/>
          <w:noProof/>
          <w:color w:val="000000" w:themeColor="text1"/>
          <w:kern w:val="32"/>
          <w:szCs w:val="26"/>
          <w:lang w:val="vi-VN"/>
        </w:rPr>
        <w:t>Research</w:t>
      </w:r>
      <w:r w:rsidR="00346170" w:rsidRPr="002E5414">
        <w:rPr>
          <w:rFonts w:ascii="Times New Roman" w:hAnsi="Times New Roman" w:cs="Times New Roman"/>
          <w:b/>
          <w:bCs/>
          <w:noProof/>
          <w:color w:val="000000" w:themeColor="text1"/>
          <w:kern w:val="32"/>
          <w:szCs w:val="26"/>
        </w:rPr>
        <w:t xml:space="preserve"> </w:t>
      </w:r>
      <w:r w:rsidR="00346170" w:rsidRPr="002E5414">
        <w:rPr>
          <w:rFonts w:ascii="Times New Roman" w:hAnsi="Times New Roman" w:cs="Times New Roman"/>
          <w:b/>
          <w:bCs/>
          <w:noProof/>
          <w:color w:val="000000" w:themeColor="text1"/>
          <w:kern w:val="32"/>
          <w:szCs w:val="26"/>
          <w:lang w:val="vi-VN"/>
        </w:rPr>
        <w:t>Objectives</w:t>
      </w:r>
      <w:r w:rsidR="00346170" w:rsidRPr="002E5414">
        <w:rPr>
          <w:rFonts w:ascii="Times New Roman" w:hAnsi="Times New Roman" w:cs="Times New Roman"/>
          <w:b/>
          <w:bCs/>
          <w:noProof/>
          <w:color w:val="000000" w:themeColor="text1"/>
          <w:kern w:val="32"/>
          <w:szCs w:val="26"/>
        </w:rPr>
        <w:t xml:space="preserve"> and </w:t>
      </w:r>
      <w:r w:rsidRPr="002E5414">
        <w:rPr>
          <w:rFonts w:ascii="Times New Roman" w:hAnsi="Times New Roman" w:cs="Times New Roman"/>
          <w:b/>
          <w:bCs/>
          <w:noProof/>
          <w:color w:val="000000" w:themeColor="text1"/>
          <w:kern w:val="32"/>
          <w:szCs w:val="26"/>
          <w:lang w:val="vi-VN"/>
        </w:rPr>
        <w:t xml:space="preserve">Questions </w:t>
      </w:r>
    </w:p>
    <w:p w14:paraId="3FAC7C13" w14:textId="0575B7F8" w:rsidR="00346170" w:rsidRPr="002E5414" w:rsidRDefault="00346170" w:rsidP="00346170">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2.</w:t>
      </w:r>
      <w:r w:rsidRPr="002E5414">
        <w:rPr>
          <w:rFonts w:ascii="Times New Roman" w:hAnsi="Times New Roman" w:cs="Times New Roman"/>
          <w:b/>
          <w:bCs/>
          <w:noProof/>
          <w:color w:val="000000" w:themeColor="text1"/>
          <w:kern w:val="32"/>
          <w:szCs w:val="26"/>
        </w:rPr>
        <w:t>1</w:t>
      </w:r>
      <w:r w:rsidRPr="002E5414">
        <w:rPr>
          <w:rFonts w:ascii="Times New Roman" w:hAnsi="Times New Roman" w:cs="Times New Roman"/>
          <w:b/>
          <w:bCs/>
          <w:noProof/>
          <w:color w:val="000000" w:themeColor="text1"/>
          <w:kern w:val="32"/>
          <w:szCs w:val="26"/>
          <w:lang w:val="vi-VN"/>
        </w:rPr>
        <w:t>. Research Objectives</w:t>
      </w:r>
    </w:p>
    <w:p w14:paraId="5720C03D" w14:textId="1FF9EF2B" w:rsidR="00346170" w:rsidRPr="002E5414" w:rsidRDefault="00346170" w:rsidP="00346170">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2.</w:t>
      </w:r>
      <w:r w:rsidRPr="002E5414">
        <w:rPr>
          <w:rFonts w:ascii="Times New Roman" w:hAnsi="Times New Roman" w:cs="Times New Roman"/>
          <w:b/>
          <w:bCs/>
          <w:noProof/>
          <w:color w:val="000000" w:themeColor="text1"/>
          <w:kern w:val="32"/>
          <w:szCs w:val="26"/>
        </w:rPr>
        <w:t>1</w:t>
      </w:r>
      <w:r w:rsidRPr="002E5414">
        <w:rPr>
          <w:rFonts w:ascii="Times New Roman" w:hAnsi="Times New Roman" w:cs="Times New Roman"/>
          <w:b/>
          <w:bCs/>
          <w:noProof/>
          <w:color w:val="000000" w:themeColor="text1"/>
          <w:kern w:val="32"/>
          <w:szCs w:val="26"/>
          <w:lang w:val="vi-VN"/>
        </w:rPr>
        <w:t>.1. General Objective</w:t>
      </w:r>
    </w:p>
    <w:p w14:paraId="1E7BCE1C" w14:textId="77777777" w:rsidR="00346170" w:rsidRPr="002E5414" w:rsidRDefault="00346170" w:rsidP="00346170">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lastRenderedPageBreak/>
        <w:t>The dissertation aims to establish a theoretical and practical foundation for proposing solutions to improve the organization of accounting in public hospitals in the Mekong Delta, ensuring the system’s adaptability to the requirements of public financial management reform and healthcare autonomy.</w:t>
      </w:r>
    </w:p>
    <w:p w14:paraId="0E9EDBDF" w14:textId="3AD0C1A4" w:rsidR="00346170" w:rsidRPr="002E5414" w:rsidRDefault="00346170" w:rsidP="00346170">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2.</w:t>
      </w:r>
      <w:r w:rsidRPr="002E5414">
        <w:rPr>
          <w:rFonts w:ascii="Times New Roman" w:hAnsi="Times New Roman" w:cs="Times New Roman"/>
          <w:b/>
          <w:bCs/>
          <w:noProof/>
          <w:color w:val="000000" w:themeColor="text1"/>
          <w:kern w:val="32"/>
          <w:szCs w:val="26"/>
        </w:rPr>
        <w:t>1</w:t>
      </w:r>
      <w:r w:rsidRPr="002E5414">
        <w:rPr>
          <w:rFonts w:ascii="Times New Roman" w:hAnsi="Times New Roman" w:cs="Times New Roman"/>
          <w:b/>
          <w:bCs/>
          <w:noProof/>
          <w:color w:val="000000" w:themeColor="text1"/>
          <w:kern w:val="32"/>
          <w:szCs w:val="26"/>
          <w:lang w:val="vi-VN"/>
        </w:rPr>
        <w:t>.2. Specific Objectives</w:t>
      </w:r>
    </w:p>
    <w:p w14:paraId="7F65A95D" w14:textId="77777777" w:rsidR="00346170" w:rsidRPr="002E5414" w:rsidRDefault="00346170" w:rsidP="00346170">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To systematize and clarify the definitions, characteristics, and requirements of accounting organization in healthcare PSUs under conditions of financial autonomy and the new public accounting regime.</w:t>
      </w:r>
    </w:p>
    <w:p w14:paraId="7A1F4D31" w14:textId="77777777" w:rsidR="00346170" w:rsidRPr="002E5414" w:rsidRDefault="00346170" w:rsidP="00346170">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To analyze and objectively evaluate the current state of accounting organization in MD public hospitals, thereby identifying advantages, difficulties, and lingering shortcomings in the implementation process.</w:t>
      </w:r>
    </w:p>
    <w:p w14:paraId="18789318" w14:textId="77777777" w:rsidR="00346170" w:rsidRPr="002E5414" w:rsidRDefault="00346170" w:rsidP="00346170">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To identify and measure the impact of various factors on accounting organization in MD public hospitals, providing a basis for prioritizing resources during the improvement process.</w:t>
      </w:r>
    </w:p>
    <w:p w14:paraId="1EB277D9" w14:textId="7B68D430" w:rsidR="00346170" w:rsidRPr="002E5414" w:rsidRDefault="00346170" w:rsidP="00346170">
      <w:pPr>
        <w:spacing w:line="360" w:lineRule="auto"/>
        <w:ind w:firstLine="567"/>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noProof/>
          <w:color w:val="000000" w:themeColor="text1"/>
          <w:kern w:val="32"/>
          <w:szCs w:val="26"/>
          <w:lang w:val="vi-VN"/>
        </w:rPr>
        <w:t>To develop a system of feasible solutions for improving accounting organization that aligns with regional specificities, autonomy trends, and the public accounting regime in the Mekong Delta.</w:t>
      </w:r>
    </w:p>
    <w:p w14:paraId="4300BC36" w14:textId="51BDD73D" w:rsidR="00C315DB" w:rsidRPr="002E5414" w:rsidRDefault="00C315DB" w:rsidP="00C315DB">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2.</w:t>
      </w:r>
      <w:r w:rsidR="00346170" w:rsidRPr="002E5414">
        <w:rPr>
          <w:rFonts w:ascii="Times New Roman" w:hAnsi="Times New Roman" w:cs="Times New Roman"/>
          <w:b/>
          <w:bCs/>
          <w:noProof/>
          <w:color w:val="000000" w:themeColor="text1"/>
          <w:kern w:val="32"/>
          <w:szCs w:val="26"/>
        </w:rPr>
        <w:t>2</w:t>
      </w:r>
      <w:r w:rsidRPr="002E5414">
        <w:rPr>
          <w:rFonts w:ascii="Times New Roman" w:hAnsi="Times New Roman" w:cs="Times New Roman"/>
          <w:b/>
          <w:bCs/>
          <w:noProof/>
          <w:color w:val="000000" w:themeColor="text1"/>
          <w:kern w:val="32"/>
          <w:szCs w:val="26"/>
          <w:lang w:val="vi-VN"/>
        </w:rPr>
        <w:t>. Research Questions</w:t>
      </w:r>
    </w:p>
    <w:p w14:paraId="56C2EECD" w14:textId="77777777" w:rsidR="001660AB" w:rsidRPr="002E5414" w:rsidRDefault="001660AB" w:rsidP="001660AB">
      <w:pPr>
        <w:pStyle w:val="NormalWeb"/>
        <w:spacing w:before="0" w:beforeAutospacing="0" w:after="0" w:afterAutospacing="0" w:line="360" w:lineRule="auto"/>
        <w:ind w:firstLine="567"/>
        <w:jc w:val="both"/>
        <w:rPr>
          <w:color w:val="000000" w:themeColor="text1"/>
          <w:sz w:val="26"/>
          <w:szCs w:val="26"/>
        </w:rPr>
      </w:pPr>
      <w:r w:rsidRPr="002E5414">
        <w:rPr>
          <w:color w:val="000000" w:themeColor="text1"/>
          <w:sz w:val="26"/>
          <w:szCs w:val="26"/>
        </w:rPr>
        <w:t>Against the backdrop of public-sector accounting reforms under Circular No. 24/2024/TT-BTC and the pressing need to modernize financial management in public healthcare, this dissertation formulates core research questions to examine the theoretical and practical dimensions of accounting practices in public hospitals across the Mekong Delta region. Specifically, the study addresses the following questions:</w:t>
      </w:r>
    </w:p>
    <w:p w14:paraId="0F500611" w14:textId="77777777" w:rsidR="001660AB" w:rsidRPr="002E5414" w:rsidRDefault="001660AB" w:rsidP="001660AB">
      <w:pPr>
        <w:pStyle w:val="NormalWeb"/>
        <w:spacing w:before="0" w:beforeAutospacing="0" w:after="0" w:afterAutospacing="0" w:line="360" w:lineRule="auto"/>
        <w:ind w:firstLine="567"/>
        <w:jc w:val="both"/>
        <w:rPr>
          <w:color w:val="000000" w:themeColor="text1"/>
          <w:sz w:val="26"/>
          <w:szCs w:val="26"/>
        </w:rPr>
      </w:pPr>
      <w:r w:rsidRPr="002E5414">
        <w:rPr>
          <w:color w:val="000000" w:themeColor="text1"/>
          <w:sz w:val="26"/>
          <w:szCs w:val="26"/>
        </w:rPr>
        <w:t>i. What is the current state of accounting organization in public hospitals in the Mekong Delta region? Which factors influence accounting activities in these institutions, and to what extent does each factor exert an influence?</w:t>
      </w:r>
    </w:p>
    <w:p w14:paraId="0C057A9E" w14:textId="77777777" w:rsidR="001660AB" w:rsidRPr="002E5414" w:rsidRDefault="001660AB" w:rsidP="001660AB">
      <w:pPr>
        <w:pStyle w:val="NormalWeb"/>
        <w:spacing w:before="0" w:beforeAutospacing="0" w:after="0" w:afterAutospacing="0" w:line="360" w:lineRule="auto"/>
        <w:ind w:firstLine="567"/>
        <w:jc w:val="both"/>
        <w:rPr>
          <w:color w:val="000000" w:themeColor="text1"/>
          <w:sz w:val="26"/>
          <w:szCs w:val="26"/>
        </w:rPr>
      </w:pPr>
      <w:r w:rsidRPr="002E5414">
        <w:rPr>
          <w:color w:val="000000" w:themeColor="text1"/>
          <w:sz w:val="26"/>
          <w:szCs w:val="26"/>
        </w:rPr>
        <w:t>ii. What solutions can improve the organization of accounting activities in public hospitals in the Mekong Delta, given current accounting framework reforms and the expanding implementation of financial autonomy in public healthcare?</w:t>
      </w:r>
    </w:p>
    <w:p w14:paraId="26675069" w14:textId="77777777" w:rsidR="00C315DB" w:rsidRPr="002E5414" w:rsidRDefault="00C315DB" w:rsidP="00C315DB">
      <w:pPr>
        <w:pStyle w:val="11"/>
        <w:outlineLvl w:val="0"/>
        <w:rPr>
          <w:rFonts w:eastAsia="Times New Roman"/>
          <w:bCs/>
          <w:noProof/>
          <w:color w:val="000000" w:themeColor="text1"/>
          <w:kern w:val="32"/>
        </w:rPr>
      </w:pPr>
      <w:r w:rsidRPr="002E5414">
        <w:rPr>
          <w:rFonts w:eastAsia="Times New Roman"/>
          <w:bCs/>
          <w:noProof/>
          <w:color w:val="000000" w:themeColor="text1"/>
          <w:kern w:val="32"/>
        </w:rPr>
        <w:t>3. Research Subject and Scope</w:t>
      </w:r>
    </w:p>
    <w:p w14:paraId="64849041" w14:textId="77777777" w:rsidR="00C315DB" w:rsidRPr="002E5414" w:rsidRDefault="00C315DB" w:rsidP="00C315DB">
      <w:pPr>
        <w:pStyle w:val="11"/>
        <w:outlineLvl w:val="0"/>
        <w:rPr>
          <w:rFonts w:eastAsia="Times New Roman"/>
          <w:bCs/>
          <w:noProof/>
          <w:color w:val="000000" w:themeColor="text1"/>
          <w:kern w:val="32"/>
        </w:rPr>
      </w:pPr>
      <w:r w:rsidRPr="002E5414">
        <w:rPr>
          <w:rFonts w:eastAsia="Times New Roman"/>
          <w:bCs/>
          <w:noProof/>
          <w:color w:val="000000" w:themeColor="text1"/>
          <w:kern w:val="32"/>
        </w:rPr>
        <w:t>3.1. Research Subject</w:t>
      </w:r>
    </w:p>
    <w:p w14:paraId="4C9EEBB9" w14:textId="77777777" w:rsidR="00C315DB" w:rsidRPr="002E5414" w:rsidRDefault="00C315DB" w:rsidP="00C315DB">
      <w:pPr>
        <w:pStyle w:val="11"/>
        <w:outlineLvl w:val="0"/>
        <w:rPr>
          <w:rFonts w:eastAsia="Times New Roman"/>
          <w:b w:val="0"/>
          <w:noProof/>
          <w:color w:val="000000" w:themeColor="text1"/>
          <w:kern w:val="32"/>
        </w:rPr>
      </w:pPr>
      <w:r w:rsidRPr="002E5414">
        <w:rPr>
          <w:rFonts w:eastAsia="Times New Roman"/>
          <w:b w:val="0"/>
          <w:noProof/>
          <w:color w:val="000000" w:themeColor="text1"/>
          <w:kern w:val="32"/>
        </w:rPr>
        <w:lastRenderedPageBreak/>
        <w:t>The research subject consists of theoretical and practical issues related to the organization of accounting systems in public hospitals in the Mekong Delta within the context of accounting reforms and financial autonomy mechanisms.</w:t>
      </w:r>
    </w:p>
    <w:p w14:paraId="07C5F772" w14:textId="77777777" w:rsidR="00C315DB" w:rsidRPr="002E5414" w:rsidRDefault="00C315DB" w:rsidP="00C315DB">
      <w:pPr>
        <w:pStyle w:val="11"/>
        <w:outlineLvl w:val="0"/>
        <w:rPr>
          <w:rFonts w:eastAsia="Times New Roman"/>
          <w:bCs/>
          <w:noProof/>
          <w:color w:val="000000" w:themeColor="text1"/>
          <w:kern w:val="32"/>
        </w:rPr>
      </w:pPr>
      <w:r w:rsidRPr="002E5414">
        <w:rPr>
          <w:rFonts w:eastAsia="Times New Roman"/>
          <w:bCs/>
          <w:noProof/>
          <w:color w:val="000000" w:themeColor="text1"/>
          <w:kern w:val="32"/>
        </w:rPr>
        <w:t>3.2. Research Scope</w:t>
      </w:r>
    </w:p>
    <w:p w14:paraId="50B27EB8" w14:textId="35D445D0" w:rsidR="00C315DB" w:rsidRPr="002E5414" w:rsidRDefault="000B45A7" w:rsidP="000B45A7">
      <w:pPr>
        <w:pStyle w:val="11"/>
        <w:ind w:firstLine="567"/>
        <w:outlineLvl w:val="0"/>
        <w:rPr>
          <w:rFonts w:eastAsia="Times New Roman"/>
          <w:bCs/>
          <w:noProof/>
          <w:color w:val="000000" w:themeColor="text1"/>
          <w:kern w:val="32"/>
        </w:rPr>
      </w:pPr>
      <w:r w:rsidRPr="002E5414">
        <w:rPr>
          <w:rFonts w:eastAsia="Times New Roman"/>
          <w:b w:val="0"/>
          <w:i/>
          <w:iCs/>
          <w:noProof/>
          <w:color w:val="000000" w:themeColor="text1"/>
          <w:kern w:val="32"/>
          <w:lang w:val="en-US"/>
        </w:rPr>
        <w:t>Regarding to the c</w:t>
      </w:r>
      <w:r w:rsidR="00C315DB" w:rsidRPr="002E5414">
        <w:rPr>
          <w:rFonts w:eastAsia="Times New Roman"/>
          <w:b w:val="0"/>
          <w:i/>
          <w:iCs/>
          <w:noProof/>
          <w:color w:val="000000" w:themeColor="text1"/>
          <w:kern w:val="32"/>
        </w:rPr>
        <w:t>ontent</w:t>
      </w:r>
      <w:r w:rsidRPr="002E5414">
        <w:rPr>
          <w:rFonts w:eastAsia="Times New Roman"/>
          <w:b w:val="0"/>
          <w:i/>
          <w:iCs/>
          <w:noProof/>
          <w:color w:val="000000" w:themeColor="text1"/>
          <w:kern w:val="32"/>
          <w:lang w:val="en-US"/>
        </w:rPr>
        <w:t>:</w:t>
      </w:r>
      <w:r w:rsidRPr="002E5414">
        <w:rPr>
          <w:rFonts w:eastAsia="Times New Roman"/>
          <w:bCs/>
          <w:noProof/>
          <w:color w:val="000000" w:themeColor="text1"/>
          <w:kern w:val="32"/>
          <w:lang w:val="en-US"/>
        </w:rPr>
        <w:t xml:space="preserve"> </w:t>
      </w:r>
      <w:r w:rsidR="00C315DB" w:rsidRPr="002E5414">
        <w:rPr>
          <w:rFonts w:eastAsia="Times New Roman"/>
          <w:b w:val="0"/>
          <w:noProof/>
          <w:color w:val="000000" w:themeColor="text1"/>
          <w:kern w:val="32"/>
        </w:rPr>
        <w:t xml:space="preserve">The </w:t>
      </w:r>
      <w:r w:rsidR="002D20D4" w:rsidRPr="002E5414">
        <w:rPr>
          <w:rFonts w:eastAsia="Times New Roman"/>
          <w:b w:val="0"/>
          <w:noProof/>
          <w:color w:val="000000" w:themeColor="text1"/>
          <w:kern w:val="32"/>
        </w:rPr>
        <w:t>dissertation</w:t>
      </w:r>
      <w:r w:rsidR="00C315DB" w:rsidRPr="002E5414">
        <w:rPr>
          <w:rFonts w:eastAsia="Times New Roman"/>
          <w:b w:val="0"/>
          <w:noProof/>
          <w:color w:val="000000" w:themeColor="text1"/>
          <w:kern w:val="32"/>
        </w:rPr>
        <w:t xml:space="preserve"> focuses on the theory and practice of accounting organization, including: the accounting apparatus; the processing, provision, and control of accounting information; and the application of IT. It also examines the factors influencing these organizational structures to propose solutions aligned with autonomy requirements.</w:t>
      </w:r>
    </w:p>
    <w:p w14:paraId="6AB43C6C" w14:textId="6C0ABB30" w:rsidR="00C315DB" w:rsidRPr="002E5414" w:rsidRDefault="000B45A7" w:rsidP="002A3C38">
      <w:pPr>
        <w:pStyle w:val="11"/>
        <w:spacing w:before="0" w:after="0"/>
        <w:ind w:firstLine="567"/>
        <w:outlineLvl w:val="0"/>
        <w:rPr>
          <w:rFonts w:eastAsia="Times New Roman"/>
          <w:bCs/>
          <w:noProof/>
          <w:color w:val="000000" w:themeColor="text1"/>
          <w:kern w:val="32"/>
        </w:rPr>
      </w:pPr>
      <w:r w:rsidRPr="002E5414">
        <w:rPr>
          <w:rFonts w:eastAsia="Times New Roman"/>
          <w:b w:val="0"/>
          <w:i/>
          <w:iCs/>
          <w:noProof/>
          <w:color w:val="000000" w:themeColor="text1"/>
          <w:kern w:val="32"/>
          <w:lang w:val="en-US"/>
        </w:rPr>
        <w:t xml:space="preserve">Regarding to the </w:t>
      </w:r>
      <w:r w:rsidR="00C315DB" w:rsidRPr="002E5414">
        <w:rPr>
          <w:rFonts w:eastAsia="Times New Roman"/>
          <w:b w:val="0"/>
          <w:i/>
          <w:iCs/>
          <w:noProof/>
          <w:color w:val="000000" w:themeColor="text1"/>
          <w:kern w:val="32"/>
          <w:lang w:val="en-US"/>
        </w:rPr>
        <w:t>Spatial Scope:</w:t>
      </w:r>
      <w:r w:rsidR="00C315DB" w:rsidRPr="002E5414">
        <w:rPr>
          <w:rFonts w:eastAsia="Times New Roman"/>
          <w:b w:val="0"/>
          <w:noProof/>
          <w:color w:val="000000" w:themeColor="text1"/>
          <w:kern w:val="32"/>
        </w:rPr>
        <w:t xml:space="preserve"> The research is conducted at public hospitals in the Mekong Delta—a region characterized by diverse hospital scales, financial capacities, and socio-economic conditions. This area was selected to provide a representative view of accounting practices in healthcare PSUs.</w:t>
      </w:r>
    </w:p>
    <w:p w14:paraId="734D1D41" w14:textId="33FB3F65" w:rsidR="00896CF4" w:rsidRPr="002E5414" w:rsidRDefault="000B45A7" w:rsidP="002A3C38">
      <w:pPr>
        <w:pStyle w:val="11"/>
        <w:spacing w:before="0" w:after="0"/>
        <w:ind w:firstLine="567"/>
        <w:outlineLvl w:val="0"/>
        <w:rPr>
          <w:color w:val="000000" w:themeColor="text1"/>
        </w:rPr>
      </w:pPr>
      <w:r w:rsidRPr="002E5414">
        <w:rPr>
          <w:rFonts w:eastAsia="Times New Roman"/>
          <w:b w:val="0"/>
          <w:i/>
          <w:iCs/>
          <w:noProof/>
          <w:color w:val="000000" w:themeColor="text1"/>
          <w:kern w:val="32"/>
          <w:lang w:val="en-US"/>
        </w:rPr>
        <w:t xml:space="preserve">Regarding to the </w:t>
      </w:r>
      <w:r w:rsidR="00C315DB" w:rsidRPr="002E5414">
        <w:rPr>
          <w:rFonts w:eastAsia="Times New Roman"/>
          <w:b w:val="0"/>
          <w:i/>
          <w:iCs/>
          <w:noProof/>
          <w:color w:val="000000" w:themeColor="text1"/>
          <w:kern w:val="32"/>
          <w:lang w:val="en-US"/>
        </w:rPr>
        <w:t>Temporal Scope:</w:t>
      </w:r>
      <w:r w:rsidR="00C315DB" w:rsidRPr="002E5414">
        <w:rPr>
          <w:rFonts w:eastAsia="Times New Roman"/>
          <w:bCs/>
          <w:noProof/>
          <w:color w:val="000000" w:themeColor="text1"/>
          <w:kern w:val="32"/>
        </w:rPr>
        <w:t xml:space="preserve"> </w:t>
      </w:r>
      <w:r w:rsidR="00C315DB" w:rsidRPr="002E5414">
        <w:rPr>
          <w:rFonts w:eastAsia="Times New Roman"/>
          <w:b w:val="0"/>
          <w:noProof/>
          <w:color w:val="000000" w:themeColor="text1"/>
          <w:kern w:val="32"/>
        </w:rPr>
        <w:t>The study was implemented in 2025. Primary data was collected via surveys to evaluate the current status and impacting factors. Secondary data, including revenue, service structures, and organizational status, was collected for the period from 2019 to 2025 to evaluate trends and current conditions.</w:t>
      </w:r>
      <w:bookmarkEnd w:id="0"/>
      <w:bookmarkEnd w:id="1"/>
    </w:p>
    <w:p w14:paraId="16D5F2A5" w14:textId="77777777" w:rsidR="004170B8" w:rsidRPr="002E5414" w:rsidRDefault="004170B8" w:rsidP="004170B8">
      <w:pPr>
        <w:spacing w:line="360" w:lineRule="auto"/>
        <w:jc w:val="both"/>
        <w:rPr>
          <w:rFonts w:ascii="Times New Roman" w:hAnsi="Times New Roman" w:cs="Times New Roman"/>
          <w:b/>
          <w:bCs/>
          <w:noProof/>
          <w:color w:val="000000" w:themeColor="text1"/>
          <w:kern w:val="32"/>
          <w:szCs w:val="26"/>
          <w:lang w:val="vi-VN"/>
        </w:rPr>
      </w:pPr>
      <w:r w:rsidRPr="002E5414">
        <w:rPr>
          <w:rFonts w:ascii="Times New Roman" w:hAnsi="Times New Roman" w:cs="Times New Roman"/>
          <w:b/>
          <w:bCs/>
          <w:noProof/>
          <w:color w:val="000000" w:themeColor="text1"/>
          <w:kern w:val="32"/>
          <w:szCs w:val="26"/>
          <w:lang w:val="vi-VN"/>
        </w:rPr>
        <w:t>4. Scientific and Practical Significance</w:t>
      </w:r>
    </w:p>
    <w:p w14:paraId="28CA73F7" w14:textId="01B6F4BB" w:rsidR="004170B8" w:rsidRPr="002E5414" w:rsidRDefault="004170B8" w:rsidP="004170B8">
      <w:pPr>
        <w:spacing w:line="360" w:lineRule="auto"/>
        <w:ind w:firstLine="567"/>
        <w:jc w:val="both"/>
        <w:rPr>
          <w:rFonts w:ascii="Times New Roman" w:hAnsi="Times New Roman" w:cs="Times New Roman"/>
          <w:noProof/>
          <w:color w:val="000000" w:themeColor="text1"/>
          <w:kern w:val="32"/>
          <w:szCs w:val="26"/>
          <w:lang w:val="vi-VN"/>
        </w:rPr>
      </w:pPr>
      <w:r w:rsidRPr="002E5414">
        <w:rPr>
          <w:rFonts w:ascii="Times New Roman" w:hAnsi="Times New Roman" w:cs="Times New Roman"/>
          <w:i/>
          <w:iCs/>
          <w:noProof/>
          <w:color w:val="000000" w:themeColor="text1"/>
          <w:kern w:val="32"/>
          <w:szCs w:val="26"/>
          <w:lang w:val="vi-VN"/>
        </w:rPr>
        <w:t>Scientific Significance:</w:t>
      </w:r>
      <w:r w:rsidRPr="002E5414">
        <w:rPr>
          <w:rFonts w:ascii="Times New Roman" w:hAnsi="Times New Roman" w:cs="Times New Roman"/>
          <w:noProof/>
          <w:color w:val="000000" w:themeColor="text1"/>
          <w:kern w:val="32"/>
          <w:szCs w:val="26"/>
          <w:lang w:val="vi-VN"/>
        </w:rPr>
        <w:t xml:space="preserve"> The </w:t>
      </w:r>
      <w:r w:rsidR="002D20D4" w:rsidRPr="002E5414">
        <w:rPr>
          <w:rFonts w:ascii="Times New Roman" w:hAnsi="Times New Roman" w:cs="Times New Roman"/>
          <w:noProof/>
          <w:color w:val="000000" w:themeColor="text1"/>
          <w:kern w:val="32"/>
          <w:szCs w:val="26"/>
          <w:lang w:val="vi-VN"/>
        </w:rPr>
        <w:t>dissertation</w:t>
      </w:r>
      <w:r w:rsidRPr="002E5414">
        <w:rPr>
          <w:rFonts w:ascii="Times New Roman" w:hAnsi="Times New Roman" w:cs="Times New Roman"/>
          <w:noProof/>
          <w:color w:val="000000" w:themeColor="text1"/>
          <w:kern w:val="32"/>
          <w:szCs w:val="26"/>
          <w:lang w:val="vi-VN"/>
        </w:rPr>
        <w:t xml:space="preserve"> clarifies the theoretical framework of accounting organization as influenced by political contexts, management requirements for different activities, and information processing methods. It enriches the theoretical system of public sector accounting by developing a multi-dimensional analytical framework. The novelty lies in establishing a systematic model that clarifies the interaction between the accounting apparatus, risk management capacity, and operational methods in MD public hospitals.</w:t>
      </w:r>
    </w:p>
    <w:p w14:paraId="629A4A91" w14:textId="7B721374" w:rsidR="0091483F" w:rsidRPr="002E5414" w:rsidRDefault="004170B8" w:rsidP="004170B8">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i/>
          <w:iCs/>
          <w:noProof/>
          <w:color w:val="000000" w:themeColor="text1"/>
          <w:kern w:val="32"/>
          <w:szCs w:val="26"/>
          <w:lang w:val="vi-VN"/>
        </w:rPr>
        <w:t>Practical Significance:</w:t>
      </w:r>
      <w:r w:rsidRPr="002E5414">
        <w:rPr>
          <w:rFonts w:ascii="Times New Roman" w:hAnsi="Times New Roman" w:cs="Times New Roman"/>
          <w:noProof/>
          <w:color w:val="000000" w:themeColor="text1"/>
          <w:kern w:val="32"/>
          <w:szCs w:val="26"/>
          <w:lang w:val="vi-VN"/>
        </w:rPr>
        <w:t xml:space="preserve"> The study provides a comprehensive and systematic view of accounting practices in the Mekong Delta. Through data analysis, it identifies the root causes of current deficiencies in the application of the Law on Accounting and autonomy decrees. On this basis, the </w:t>
      </w:r>
      <w:r w:rsidR="002D20D4" w:rsidRPr="002E5414">
        <w:rPr>
          <w:rFonts w:ascii="Times New Roman" w:hAnsi="Times New Roman" w:cs="Times New Roman"/>
          <w:noProof/>
          <w:color w:val="000000" w:themeColor="text1"/>
          <w:kern w:val="32"/>
          <w:szCs w:val="26"/>
          <w:lang w:val="vi-VN"/>
        </w:rPr>
        <w:t>dissertation</w:t>
      </w:r>
      <w:r w:rsidRPr="002E5414">
        <w:rPr>
          <w:rFonts w:ascii="Times New Roman" w:hAnsi="Times New Roman" w:cs="Times New Roman"/>
          <w:noProof/>
          <w:color w:val="000000" w:themeColor="text1"/>
          <w:kern w:val="32"/>
          <w:szCs w:val="26"/>
          <w:lang w:val="vi-VN"/>
        </w:rPr>
        <w:t xml:space="preserve"> proposes a set of solutions tailored to regional specializations and financial management reforms, contributing to enhanced transparency, accountability, and financial governance in public hospitals.</w:t>
      </w:r>
    </w:p>
    <w:p w14:paraId="05512576" w14:textId="2825F165" w:rsidR="004170B8" w:rsidRPr="002E5414" w:rsidRDefault="0058141E"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 Research Methodology</w:t>
      </w:r>
    </w:p>
    <w:p w14:paraId="1516DCF0" w14:textId="4819B45F"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lastRenderedPageBreak/>
        <w:t xml:space="preserve">The </w:t>
      </w:r>
      <w:r w:rsidR="002D20D4" w:rsidRPr="002E5414">
        <w:rPr>
          <w:rFonts w:ascii="Times New Roman" w:eastAsiaTheme="minorHAnsi" w:hAnsi="Times New Roman" w:cs="Times New Roman"/>
          <w:bCs/>
          <w:color w:val="000000" w:themeColor="text1"/>
          <w:szCs w:val="26"/>
        </w:rPr>
        <w:t>dissertation</w:t>
      </w:r>
      <w:r w:rsidRPr="002E5414">
        <w:rPr>
          <w:rFonts w:ascii="Times New Roman" w:eastAsiaTheme="minorHAnsi" w:hAnsi="Times New Roman" w:cs="Times New Roman"/>
          <w:bCs/>
          <w:color w:val="000000" w:themeColor="text1"/>
          <w:szCs w:val="26"/>
        </w:rPr>
        <w:t xml:space="preserve"> employs a mixed-methods approach, integrating qualitative and quantitative research methodologies.</w:t>
      </w:r>
    </w:p>
    <w:p w14:paraId="29269817"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5.1. Research Design and Data Collection</w:t>
      </w:r>
    </w:p>
    <w:p w14:paraId="48A566F9"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5.1.1. Primary Data Collection</w:t>
      </w:r>
    </w:p>
    <w:p w14:paraId="0C6C3647" w14:textId="700C9EE0"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t>Primary data were directly collected by the author to evaluate the current state of accounting organization in public hospitals within the Mekong Delta. The study utilized a cross-sectional survey design. A structured online questionnaire was developed using Google Forms and distributed via email (Gmail) to targeted participants, including Chief Accountants, general accountants, and financial officers at public hospitals.</w:t>
      </w:r>
    </w:p>
    <w:p w14:paraId="2E6AF0C6"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5.1.2. Secondary Data Collection</w:t>
      </w:r>
    </w:p>
    <w:p w14:paraId="57A3B17F"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t>Secondary data include published documents, reports, and archived information from hospital management systems and state regulatory agencies. These data serve to analyze the context and operational trends of the public accounting system. The collection and processing of secondary data followed a five-step procedure:</w:t>
      </w:r>
    </w:p>
    <w:p w14:paraId="3DDD3F9C"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i/>
          <w:iCs/>
          <w:color w:val="000000" w:themeColor="text1"/>
          <w:szCs w:val="26"/>
        </w:rPr>
        <w:t>Step 1:</w:t>
      </w:r>
      <w:r w:rsidRPr="002E5414">
        <w:rPr>
          <w:rFonts w:ascii="Times New Roman" w:eastAsiaTheme="minorHAnsi" w:hAnsi="Times New Roman" w:cs="Times New Roman"/>
          <w:bCs/>
          <w:color w:val="000000" w:themeColor="text1"/>
          <w:szCs w:val="26"/>
        </w:rPr>
        <w:t xml:space="preserve"> Define the data scope related to accounting organization activities, including revenue, service structures, accounting apparatus, financial reports, and operational indicators from 2019 to 2025.</w:t>
      </w:r>
    </w:p>
    <w:p w14:paraId="6BDE21C8"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i/>
          <w:iCs/>
          <w:color w:val="000000" w:themeColor="text1"/>
          <w:szCs w:val="26"/>
        </w:rPr>
        <w:t>Step 2:</w:t>
      </w:r>
      <w:r w:rsidRPr="002E5414">
        <w:rPr>
          <w:rFonts w:ascii="Times New Roman" w:eastAsiaTheme="minorHAnsi" w:hAnsi="Times New Roman" w:cs="Times New Roman"/>
          <w:bCs/>
          <w:color w:val="000000" w:themeColor="text1"/>
          <w:szCs w:val="26"/>
        </w:rPr>
        <w:t xml:space="preserve"> Classify data sources into two main groups: (i) internal data from periodic reports, financial plans, and budget settlements; (ii) external data from legal documents, healthcare industry reports, and relevant academic research.</w:t>
      </w:r>
    </w:p>
    <w:p w14:paraId="43C2D4E4"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i/>
          <w:iCs/>
          <w:color w:val="000000" w:themeColor="text1"/>
          <w:szCs w:val="26"/>
        </w:rPr>
        <w:t>Step 3:</w:t>
      </w:r>
      <w:r w:rsidRPr="002E5414">
        <w:rPr>
          <w:rFonts w:ascii="Times New Roman" w:eastAsiaTheme="minorHAnsi" w:hAnsi="Times New Roman" w:cs="Times New Roman"/>
          <w:bCs/>
          <w:color w:val="000000" w:themeColor="text1"/>
          <w:szCs w:val="26"/>
        </w:rPr>
        <w:t xml:space="preserve"> Collect data from accounting departments, financial planning departments, the Ministry of Health website, and regulatory bodies.</w:t>
      </w:r>
    </w:p>
    <w:p w14:paraId="246E0393"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i/>
          <w:iCs/>
          <w:color w:val="000000" w:themeColor="text1"/>
          <w:szCs w:val="26"/>
        </w:rPr>
        <w:t>Step 4:</w:t>
      </w:r>
      <w:r w:rsidRPr="002E5414">
        <w:rPr>
          <w:rFonts w:ascii="Times New Roman" w:eastAsiaTheme="minorHAnsi" w:hAnsi="Times New Roman" w:cs="Times New Roman"/>
          <w:bCs/>
          <w:color w:val="000000" w:themeColor="text1"/>
          <w:szCs w:val="26"/>
        </w:rPr>
        <w:t xml:space="preserve"> Verify data reliability and consistency through cross-referencing, reviewing issuing sources, and evaluating recording methods.</w:t>
      </w:r>
    </w:p>
    <w:p w14:paraId="2B8BE297"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i/>
          <w:iCs/>
          <w:color w:val="000000" w:themeColor="text1"/>
          <w:szCs w:val="26"/>
        </w:rPr>
        <w:t xml:space="preserve">Step 5: </w:t>
      </w:r>
      <w:r w:rsidRPr="002E5414">
        <w:rPr>
          <w:rFonts w:ascii="Times New Roman" w:eastAsiaTheme="minorHAnsi" w:hAnsi="Times New Roman" w:cs="Times New Roman"/>
          <w:bCs/>
          <w:color w:val="000000" w:themeColor="text1"/>
          <w:szCs w:val="26"/>
        </w:rPr>
        <w:t>Process, systematize, and aggregate secondary data into thematic groups for qualitative and quantitative analysis.</w:t>
      </w:r>
    </w:p>
    <w:p w14:paraId="30807992"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5.1.3. Sampling Method</w:t>
      </w:r>
    </w:p>
    <w:p w14:paraId="4BC4B127" w14:textId="592858CF"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t xml:space="preserve">To ensure the research sample accurately reflects the reality of accounting organization in MD public hospitals, the </w:t>
      </w:r>
      <w:r w:rsidR="002D20D4" w:rsidRPr="002E5414">
        <w:rPr>
          <w:rFonts w:ascii="Times New Roman" w:eastAsiaTheme="minorHAnsi" w:hAnsi="Times New Roman" w:cs="Times New Roman"/>
          <w:bCs/>
          <w:color w:val="000000" w:themeColor="text1"/>
          <w:szCs w:val="26"/>
        </w:rPr>
        <w:t>dissertation</w:t>
      </w:r>
      <w:r w:rsidRPr="002E5414">
        <w:rPr>
          <w:rFonts w:ascii="Times New Roman" w:eastAsiaTheme="minorHAnsi" w:hAnsi="Times New Roman" w:cs="Times New Roman"/>
          <w:bCs/>
          <w:color w:val="000000" w:themeColor="text1"/>
          <w:szCs w:val="26"/>
        </w:rPr>
        <w:t xml:space="preserve"> applied a non-probability, purposive sampling method. This method was selected because random access to all public hospitals in the region presented feasibility constraints. Furthermore, purposive sampling ensures the selection of respondents capable of providing in-depth and </w:t>
      </w:r>
      <w:r w:rsidRPr="002E5414">
        <w:rPr>
          <w:rFonts w:ascii="Times New Roman" w:eastAsiaTheme="minorHAnsi" w:hAnsi="Times New Roman" w:cs="Times New Roman"/>
          <w:bCs/>
          <w:color w:val="000000" w:themeColor="text1"/>
          <w:szCs w:val="26"/>
        </w:rPr>
        <w:lastRenderedPageBreak/>
        <w:t>accurate information, thereby enhancing data quality and alignment with research objectives.</w:t>
      </w:r>
    </w:p>
    <w:p w14:paraId="53CCFA36"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Cs/>
          <w:i/>
          <w:iCs/>
          <w:color w:val="000000" w:themeColor="text1"/>
          <w:szCs w:val="26"/>
        </w:rPr>
        <w:t>5.1.3.1. Sample Scope</w:t>
      </w:r>
      <w:r w:rsidRPr="002E5414">
        <w:rPr>
          <w:rFonts w:ascii="Times New Roman" w:eastAsiaTheme="minorHAnsi" w:hAnsi="Times New Roman" w:cs="Times New Roman"/>
          <w:b/>
          <w:color w:val="000000" w:themeColor="text1"/>
          <w:szCs w:val="26"/>
        </w:rPr>
        <w:t xml:space="preserve">: </w:t>
      </w:r>
      <w:r w:rsidRPr="002E5414">
        <w:rPr>
          <w:rFonts w:ascii="Times New Roman" w:eastAsiaTheme="minorHAnsi" w:hAnsi="Times New Roman" w:cs="Times New Roman"/>
          <w:bCs/>
          <w:color w:val="000000" w:themeColor="text1"/>
          <w:szCs w:val="26"/>
        </w:rPr>
        <w:t>The survey spanned six provinces and cities in the Mekong Delta (Can Tho, Vinh Long, Ca Mau, Dong Thap, An Giang, and Tay Ninh) to reflect regional characteristics and ensure representativeness. The sample was designed to be diverse in terms of hospital scale and classification (Specialized, Grade I, Grade II, and Grade III) to capture organizational differences across levels.</w:t>
      </w:r>
    </w:p>
    <w:p w14:paraId="79A7C9AC"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i/>
          <w:iCs/>
          <w:color w:val="000000" w:themeColor="text1"/>
          <w:szCs w:val="26"/>
        </w:rPr>
        <w:t>Sample Size:</w:t>
      </w:r>
      <w:r w:rsidRPr="002E5414">
        <w:rPr>
          <w:rFonts w:ascii="Times New Roman" w:eastAsiaTheme="minorHAnsi" w:hAnsi="Times New Roman" w:cs="Times New Roman"/>
          <w:b/>
          <w:color w:val="000000" w:themeColor="text1"/>
          <w:szCs w:val="26"/>
        </w:rPr>
        <w:t xml:space="preserve"> </w:t>
      </w:r>
      <w:r w:rsidRPr="002E5414">
        <w:rPr>
          <w:rFonts w:ascii="Times New Roman" w:eastAsiaTheme="minorHAnsi" w:hAnsi="Times New Roman" w:cs="Times New Roman"/>
          <w:bCs/>
          <w:color w:val="000000" w:themeColor="text1"/>
          <w:szCs w:val="26"/>
        </w:rPr>
        <w:t>The sample size was determined based on the requirements for Exploratory Factor Analysis (EFA) and regression analysis. According to Hair et al. (2010), the sample size should be 5 to 10 times the number of observed variables. With 31 observed variables in the questionnaire, the minimum required sample was 155. The author distributed 245 questionnaires and received 245 valid responses, achieving a 100% valid response rate.</w:t>
      </w:r>
    </w:p>
    <w:p w14:paraId="34F0C671"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Cs/>
          <w:i/>
          <w:iCs/>
          <w:color w:val="000000" w:themeColor="text1"/>
          <w:szCs w:val="26"/>
        </w:rPr>
        <w:t>5.1.3.2. Survey Subjects</w:t>
      </w:r>
      <w:r w:rsidRPr="002E5414">
        <w:rPr>
          <w:rFonts w:ascii="Times New Roman" w:eastAsiaTheme="minorHAnsi" w:hAnsi="Times New Roman" w:cs="Times New Roman"/>
          <w:b/>
          <w:color w:val="000000" w:themeColor="text1"/>
          <w:szCs w:val="26"/>
        </w:rPr>
        <w:t xml:space="preserve">: </w:t>
      </w:r>
      <w:r w:rsidRPr="002E5414">
        <w:rPr>
          <w:rFonts w:ascii="Times New Roman" w:eastAsiaTheme="minorHAnsi" w:hAnsi="Times New Roman" w:cs="Times New Roman"/>
          <w:bCs/>
          <w:color w:val="000000" w:themeColor="text1"/>
          <w:szCs w:val="26"/>
        </w:rPr>
        <w:t>Participants included individuals with professional knowledge and direct experience in hospital accounting, specifically Chief Accountants, heads of Finance-Accounting departments, and specialized accountants.</w:t>
      </w:r>
    </w:p>
    <w:p w14:paraId="13F9B9BD"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Cs/>
          <w:i/>
          <w:iCs/>
          <w:color w:val="000000" w:themeColor="text1"/>
          <w:szCs w:val="26"/>
        </w:rPr>
        <w:t>5.1.3.3. Sample Distribution</w:t>
      </w:r>
      <w:r w:rsidRPr="002E5414">
        <w:rPr>
          <w:rFonts w:ascii="Times New Roman" w:eastAsiaTheme="minorHAnsi" w:hAnsi="Times New Roman" w:cs="Times New Roman"/>
          <w:b/>
          <w:color w:val="000000" w:themeColor="text1"/>
          <w:szCs w:val="26"/>
        </w:rPr>
        <w:t xml:space="preserve">: </w:t>
      </w:r>
      <w:r w:rsidRPr="002E5414">
        <w:rPr>
          <w:rFonts w:ascii="Times New Roman" w:eastAsiaTheme="minorHAnsi" w:hAnsi="Times New Roman" w:cs="Times New Roman"/>
          <w:bCs/>
          <w:color w:val="000000" w:themeColor="text1"/>
          <w:szCs w:val="26"/>
        </w:rPr>
        <w:t>In units with large sample sizes (10–18 responses), the author received high support from leadership, allowing broad access to accountants across various functions. For units with smaller sample sizes (2–9 responses), respondents were primarily key personnel such as Chief Accountants or General Accountants with extensive experience, ensuring high reliability and representativeness.</w:t>
      </w:r>
    </w:p>
    <w:p w14:paraId="6E575595"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5.2. Qualitative Research</w:t>
      </w:r>
    </w:p>
    <w:p w14:paraId="277B31BD" w14:textId="77777777" w:rsidR="004170B8"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t>Qualitative methods were applied to explore, synthesize, and clarify issues related to accounting organization in public hospitals through field data collection and content analysis.</w:t>
      </w:r>
    </w:p>
    <w:p w14:paraId="3C2FD5D5" w14:textId="77777777" w:rsidR="004170B8" w:rsidRPr="002E5414" w:rsidRDefault="004170B8" w:rsidP="004170B8">
      <w:pPr>
        <w:spacing w:line="360" w:lineRule="auto"/>
        <w:ind w:firstLine="567"/>
        <w:jc w:val="both"/>
        <w:rPr>
          <w:rFonts w:ascii="Times New Roman" w:eastAsiaTheme="minorHAnsi" w:hAnsi="Times New Roman" w:cs="Times New Roman"/>
          <w:b/>
          <w:color w:val="000000" w:themeColor="text1"/>
          <w:szCs w:val="26"/>
        </w:rPr>
      </w:pPr>
      <w:r w:rsidRPr="002E5414">
        <w:rPr>
          <w:rFonts w:ascii="Times New Roman" w:eastAsiaTheme="minorHAnsi" w:hAnsi="Times New Roman" w:cs="Times New Roman"/>
          <w:b/>
          <w:color w:val="000000" w:themeColor="text1"/>
          <w:szCs w:val="26"/>
        </w:rPr>
        <w:t>5.3. Quantitative Research</w:t>
      </w:r>
    </w:p>
    <w:p w14:paraId="3AE052A6" w14:textId="3B1D29DF" w:rsidR="0091483F" w:rsidRPr="002E5414" w:rsidRDefault="004170B8" w:rsidP="004170B8">
      <w:pPr>
        <w:spacing w:line="360" w:lineRule="auto"/>
        <w:ind w:firstLine="567"/>
        <w:jc w:val="both"/>
        <w:rPr>
          <w:rFonts w:ascii="Times New Roman" w:eastAsiaTheme="minorHAnsi" w:hAnsi="Times New Roman" w:cs="Times New Roman"/>
          <w:bCs/>
          <w:color w:val="000000" w:themeColor="text1"/>
          <w:szCs w:val="26"/>
        </w:rPr>
      </w:pPr>
      <w:r w:rsidRPr="002E5414">
        <w:rPr>
          <w:rFonts w:ascii="Times New Roman" w:eastAsiaTheme="minorHAnsi" w:hAnsi="Times New Roman" w:cs="Times New Roman"/>
          <w:bCs/>
          <w:color w:val="000000" w:themeColor="text1"/>
          <w:szCs w:val="26"/>
        </w:rPr>
        <w:t>Following the qualitative phase, quantitative research was conducted to test hypotheses and evaluate the status of accounting organization. Descriptive statistics were used to reflect sample characteristics and the frequency of research criteria. Advanced analytical methods, including reliability testing, EFA, and multivariate regression, were employed to determine the impact level of various factors.</w:t>
      </w:r>
    </w:p>
    <w:p w14:paraId="68DC1864" w14:textId="4C158F71" w:rsidR="0058141E" w:rsidRPr="002E5414" w:rsidRDefault="0058141E" w:rsidP="004170B8">
      <w:pPr>
        <w:spacing w:line="360" w:lineRule="auto"/>
        <w:ind w:firstLine="567"/>
        <w:jc w:val="both"/>
        <w:rPr>
          <w:rFonts w:ascii="Times New Roman" w:hAnsi="Times New Roman" w:cs="Times New Roman"/>
          <w:bCs/>
          <w:color w:val="000000" w:themeColor="text1"/>
          <w:szCs w:val="26"/>
          <w:lang w:val="vi-VN"/>
        </w:rPr>
      </w:pPr>
      <w:r w:rsidRPr="002E5414">
        <w:rPr>
          <w:rFonts w:ascii="Times New Roman" w:eastAsiaTheme="minorHAnsi" w:hAnsi="Times New Roman" w:cs="Times New Roman"/>
          <w:b/>
          <w:color w:val="000000" w:themeColor="text1"/>
          <w:szCs w:val="26"/>
        </w:rPr>
        <w:t>5.4. Data processing and analysis methods</w:t>
      </w:r>
    </w:p>
    <w:p w14:paraId="76B2ECC3" w14:textId="7069B908" w:rsidR="004170B8" w:rsidRPr="002E5414" w:rsidRDefault="004170B8" w:rsidP="004170B8">
      <w:pPr>
        <w:spacing w:after="120"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lastRenderedPageBreak/>
        <w:t xml:space="preserve">To achieve the research objectives, the </w:t>
      </w:r>
      <w:r w:rsidR="002D20D4" w:rsidRPr="002E5414">
        <w:rPr>
          <w:rFonts w:ascii="Times New Roman" w:hAnsi="Times New Roman" w:cs="Times New Roman"/>
          <w:color w:val="000000" w:themeColor="text1"/>
          <w:kern w:val="32"/>
          <w:szCs w:val="26"/>
        </w:rPr>
        <w:t>dissertation</w:t>
      </w:r>
      <w:r w:rsidRPr="002E5414">
        <w:rPr>
          <w:rFonts w:ascii="Times New Roman" w:hAnsi="Times New Roman" w:cs="Times New Roman"/>
          <w:color w:val="000000" w:themeColor="text1"/>
          <w:kern w:val="32"/>
          <w:szCs w:val="26"/>
        </w:rPr>
        <w:t xml:space="preserve"> integrated qualitative and quantitative processing as follows:</w:t>
      </w:r>
    </w:p>
    <w:p w14:paraId="4931FEC8" w14:textId="77777777" w:rsidR="004170B8" w:rsidRPr="002E5414" w:rsidRDefault="004170B8" w:rsidP="004170B8">
      <w:pPr>
        <w:spacing w:after="120"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Objective 1 (Theoretical Framework):</w:t>
      </w:r>
      <w:r w:rsidRPr="002E5414">
        <w:rPr>
          <w:rFonts w:ascii="Times New Roman" w:hAnsi="Times New Roman" w:cs="Times New Roman"/>
          <w:color w:val="000000" w:themeColor="text1"/>
          <w:kern w:val="32"/>
          <w:szCs w:val="26"/>
        </w:rPr>
        <w:t xml:space="preserve"> Systematized and clarified the theoretical basis by synthesizing and analyzing secondary documents, legal texts, and domestic and international accounting standards.</w:t>
      </w:r>
    </w:p>
    <w:p w14:paraId="1E0827EF" w14:textId="182A149A" w:rsidR="004170B8" w:rsidRPr="002E5414" w:rsidRDefault="004170B8" w:rsidP="004170B8">
      <w:pPr>
        <w:spacing w:after="120"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Objective 2:</w:t>
      </w:r>
      <w:r w:rsidRPr="002E5414">
        <w:rPr>
          <w:rFonts w:ascii="Times New Roman" w:hAnsi="Times New Roman" w:cs="Times New Roman"/>
          <w:color w:val="000000" w:themeColor="text1"/>
          <w:kern w:val="32"/>
          <w:szCs w:val="26"/>
        </w:rPr>
        <w:t xml:space="preserve"> Described and evaluated accounting practices using direct observation and survey data. A 5-point Likert scale was used to measure respondent evaluations.</w:t>
      </w:r>
    </w:p>
    <w:p w14:paraId="39F0B72B" w14:textId="3EF7E2F0" w:rsidR="004170B8" w:rsidRPr="002E5414" w:rsidRDefault="004170B8" w:rsidP="004170B8">
      <w:pPr>
        <w:spacing w:after="120"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Objective 3:</w:t>
      </w:r>
      <w:r w:rsidRPr="002E5414">
        <w:rPr>
          <w:rFonts w:ascii="Times New Roman" w:hAnsi="Times New Roman" w:cs="Times New Roman"/>
          <w:color w:val="000000" w:themeColor="text1"/>
          <w:kern w:val="32"/>
          <w:szCs w:val="26"/>
        </w:rPr>
        <w:t xml:space="preserve"> Employed quantitative methods including Cronbach’s Alpha for reliability, EFA for factor structure, and multivariate regression to determine the impact of independent variables on accounting organization.</w:t>
      </w:r>
    </w:p>
    <w:p w14:paraId="62AFC110" w14:textId="4ADD0221" w:rsidR="004170B8" w:rsidRPr="002E5414" w:rsidRDefault="004170B8" w:rsidP="004170B8">
      <w:pPr>
        <w:spacing w:after="120"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Objective 4:</w:t>
      </w:r>
      <w:r w:rsidRPr="002E5414">
        <w:rPr>
          <w:rFonts w:ascii="Times New Roman" w:hAnsi="Times New Roman" w:cs="Times New Roman"/>
          <w:color w:val="000000" w:themeColor="text1"/>
          <w:kern w:val="32"/>
          <w:szCs w:val="26"/>
        </w:rPr>
        <w:t xml:space="preserve"> Integrated qualitative and quantitative findings to propose scientifically grounded and practical solutions that meet the requirements of financial autonomy and public sector reform.</w:t>
      </w:r>
    </w:p>
    <w:p w14:paraId="0B8E77DB" w14:textId="77777777" w:rsidR="004170B8" w:rsidRPr="002E5414" w:rsidRDefault="004170B8" w:rsidP="004170B8">
      <w:pPr>
        <w:spacing w:after="120" w:line="360" w:lineRule="auto"/>
        <w:ind w:firstLine="567"/>
        <w:jc w:val="both"/>
        <w:rPr>
          <w:rFonts w:ascii="Times New Roman" w:hAnsi="Times New Roman" w:cs="Times New Roman"/>
          <w:b/>
          <w:bCs/>
          <w:color w:val="000000" w:themeColor="text1"/>
          <w:kern w:val="32"/>
          <w:szCs w:val="26"/>
        </w:rPr>
      </w:pPr>
      <w:r w:rsidRPr="002E5414">
        <w:rPr>
          <w:rFonts w:ascii="Times New Roman" w:hAnsi="Times New Roman" w:cs="Times New Roman"/>
          <w:b/>
          <w:bCs/>
          <w:color w:val="000000" w:themeColor="text1"/>
          <w:kern w:val="32"/>
          <w:szCs w:val="26"/>
        </w:rPr>
        <w:t>5.5. Empirical Research Model</w:t>
      </w:r>
    </w:p>
    <w:p w14:paraId="7398B564" w14:textId="624BCCF4" w:rsidR="004170B8" w:rsidRPr="002E5414" w:rsidRDefault="004170B8"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t xml:space="preserve">The </w:t>
      </w:r>
      <w:r w:rsidR="002D20D4" w:rsidRPr="002E5414">
        <w:rPr>
          <w:rFonts w:ascii="Times New Roman" w:hAnsi="Times New Roman" w:cs="Times New Roman"/>
          <w:color w:val="000000" w:themeColor="text1"/>
          <w:kern w:val="32"/>
          <w:szCs w:val="26"/>
        </w:rPr>
        <w:t>dissertation</w:t>
      </w:r>
      <w:r w:rsidRPr="002E5414">
        <w:rPr>
          <w:rFonts w:ascii="Times New Roman" w:hAnsi="Times New Roman" w:cs="Times New Roman"/>
          <w:color w:val="000000" w:themeColor="text1"/>
          <w:kern w:val="32"/>
          <w:szCs w:val="26"/>
        </w:rPr>
        <w:t xml:space="preserve"> proposes an empirical research model based on a systems approach. The Dependent Variable is the Organization of Accounting </w:t>
      </w:r>
      <w:r w:rsidR="007404BF"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reflecting the efficiency and appropriateness of accounting activities (documentation, accounts, ledgers, reporting, internal control).</w:t>
      </w:r>
    </w:p>
    <w:p w14:paraId="4473BD4E" w14:textId="77777777" w:rsidR="004170B8" w:rsidRPr="002E5414" w:rsidRDefault="004170B8"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t>The Independent Variables hypothesized to influence the dependent variable include:</w:t>
      </w:r>
    </w:p>
    <w:p w14:paraId="27323C78" w14:textId="4EBAEE16" w:rsidR="004170B8" w:rsidRPr="002E5414" w:rsidRDefault="0028291C"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The Legal and Regulatory Environment</w:t>
      </w:r>
      <w:r w:rsidR="004170B8" w:rsidRPr="002E5414">
        <w:rPr>
          <w:rFonts w:ascii="Times New Roman" w:hAnsi="Times New Roman" w:cs="Times New Roman"/>
          <w:color w:val="000000" w:themeColor="text1"/>
          <w:kern w:val="32"/>
          <w:szCs w:val="26"/>
        </w:rPr>
        <w:t xml:space="preserve"> (MTPL): Regulatory frameworks, accounting regimes, and guidance from ministries.</w:t>
      </w:r>
    </w:p>
    <w:p w14:paraId="4D4686FC" w14:textId="6E6CCB60" w:rsidR="004170B8" w:rsidRPr="002E5414" w:rsidRDefault="0028291C"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 xml:space="preserve">The Demand for Accounting Information </w:t>
      </w:r>
      <w:r w:rsidR="004170B8" w:rsidRPr="002E5414">
        <w:rPr>
          <w:rFonts w:ascii="Times New Roman" w:hAnsi="Times New Roman" w:cs="Times New Roman"/>
          <w:color w:val="000000" w:themeColor="text1"/>
          <w:kern w:val="32"/>
          <w:szCs w:val="26"/>
        </w:rPr>
        <w:t xml:space="preserve"> (NCTTKT): Demands for information for management, control, and decision-making by leadership and governing bodies.</w:t>
      </w:r>
    </w:p>
    <w:p w14:paraId="25B53EA6" w14:textId="0F3EA094" w:rsidR="004170B8" w:rsidRPr="002E5414" w:rsidRDefault="0028291C"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 xml:space="preserve">The Competency of Accounting Personnel </w:t>
      </w:r>
      <w:r w:rsidR="004170B8" w:rsidRPr="002E5414">
        <w:rPr>
          <w:rFonts w:ascii="Times New Roman" w:hAnsi="Times New Roman" w:cs="Times New Roman"/>
          <w:color w:val="000000" w:themeColor="text1"/>
          <w:kern w:val="32"/>
          <w:szCs w:val="26"/>
        </w:rPr>
        <w:t xml:space="preserve"> (NLNVKT): Professional expertise, technical skills, experience, and ethics of the accounting staff.</w:t>
      </w:r>
    </w:p>
    <w:p w14:paraId="35313CA0" w14:textId="21394AC3" w:rsidR="004170B8" w:rsidRPr="002E5414" w:rsidRDefault="0028291C"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Financial Resources for Investment</w:t>
      </w:r>
      <w:r w:rsidR="004170B8" w:rsidRPr="002E5414">
        <w:rPr>
          <w:rFonts w:ascii="Times New Roman" w:hAnsi="Times New Roman" w:cs="Times New Roman"/>
          <w:color w:val="000000" w:themeColor="text1"/>
          <w:kern w:val="32"/>
          <w:szCs w:val="26"/>
        </w:rPr>
        <w:t xml:space="preserve"> (NTCDT): The ability to mobilize and utilize financial resources for accounting operations.</w:t>
      </w:r>
    </w:p>
    <w:p w14:paraId="3CEF8331" w14:textId="182B413F" w:rsidR="004170B8" w:rsidRPr="002E5414" w:rsidRDefault="0028291C"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 xml:space="preserve">The Budget Preparation Process </w:t>
      </w:r>
      <w:r w:rsidR="004170B8" w:rsidRPr="002E5414">
        <w:rPr>
          <w:rFonts w:ascii="Times New Roman" w:hAnsi="Times New Roman" w:cs="Times New Roman"/>
          <w:color w:val="000000" w:themeColor="text1"/>
          <w:kern w:val="32"/>
          <w:szCs w:val="26"/>
        </w:rPr>
        <w:t>(QTLDT): The scientific rigor and transparency of revenue and expenditure forecasting.</w:t>
      </w:r>
    </w:p>
    <w:p w14:paraId="4B88CA10" w14:textId="3BAEF26A" w:rsidR="004170B8" w:rsidRPr="002E5414" w:rsidRDefault="004170B8"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lastRenderedPageBreak/>
        <w:t xml:space="preserve">Information Technology </w:t>
      </w:r>
      <w:r w:rsidRPr="002E5414">
        <w:rPr>
          <w:rFonts w:ascii="Times New Roman" w:hAnsi="Times New Roman" w:cs="Times New Roman"/>
          <w:color w:val="000000" w:themeColor="text1"/>
          <w:kern w:val="32"/>
          <w:szCs w:val="26"/>
        </w:rPr>
        <w:t>(</w:t>
      </w:r>
      <w:r w:rsidR="0028291C" w:rsidRPr="002E5414">
        <w:rPr>
          <w:rFonts w:ascii="Times New Roman" w:hAnsi="Times New Roman" w:cs="Times New Roman"/>
          <w:color w:val="000000" w:themeColor="text1"/>
          <w:kern w:val="32"/>
          <w:szCs w:val="26"/>
        </w:rPr>
        <w:t>CNTT</w:t>
      </w:r>
      <w:r w:rsidRPr="002E5414">
        <w:rPr>
          <w:rFonts w:ascii="Times New Roman" w:hAnsi="Times New Roman" w:cs="Times New Roman"/>
          <w:color w:val="000000" w:themeColor="text1"/>
          <w:kern w:val="32"/>
          <w:szCs w:val="26"/>
        </w:rPr>
        <w:t>): The application of accounting software, IT systems, and automation.</w:t>
      </w:r>
    </w:p>
    <w:p w14:paraId="5E5AA5F0" w14:textId="59BCAACB" w:rsidR="0091483F" w:rsidRPr="002E5414" w:rsidRDefault="004170B8" w:rsidP="007404BF">
      <w:pPr>
        <w:spacing w:line="360" w:lineRule="auto"/>
        <w:ind w:firstLine="567"/>
        <w:jc w:val="both"/>
        <w:rPr>
          <w:rFonts w:ascii="Times New Roman" w:hAnsi="Times New Roman" w:cs="Times New Roman"/>
          <w:color w:val="000000" w:themeColor="text1"/>
          <w:szCs w:val="26"/>
          <w:lang w:val="vi-VN"/>
        </w:rPr>
      </w:pPr>
      <w:r w:rsidRPr="002E5414">
        <w:rPr>
          <w:rFonts w:ascii="Times New Roman" w:hAnsi="Times New Roman" w:cs="Times New Roman"/>
          <w:i/>
          <w:iCs/>
          <w:color w:val="000000" w:themeColor="text1"/>
          <w:kern w:val="32"/>
          <w:szCs w:val="26"/>
        </w:rPr>
        <w:t>Risk Management</w:t>
      </w:r>
      <w:r w:rsidRPr="002E5414">
        <w:rPr>
          <w:rFonts w:ascii="Times New Roman" w:hAnsi="Times New Roman" w:cs="Times New Roman"/>
          <w:color w:val="000000" w:themeColor="text1"/>
          <w:kern w:val="32"/>
          <w:szCs w:val="26"/>
        </w:rPr>
        <w:t xml:space="preserve"> (QLRR): Mechanisms for identifying, assessing, and controlling financial and accounting risks.</w:t>
      </w:r>
    </w:p>
    <w:p w14:paraId="67524225" w14:textId="6994114F"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bookmarkStart w:id="2" w:name="_Hlk222650354"/>
      <w:r w:rsidRPr="002E5414">
        <w:rPr>
          <w:rFonts w:ascii="Times New Roman" w:hAnsi="Times New Roman" w:cs="Times New Roman"/>
          <w:color w:val="000000" w:themeColor="text1"/>
          <w:kern w:val="32"/>
          <w:szCs w:val="26"/>
        </w:rPr>
        <w:t>Grounded in the Technology-Organization-Environment (</w:t>
      </w:r>
      <w:r w:rsidRPr="002E5414">
        <w:rPr>
          <w:rFonts w:ascii="Times New Roman" w:hAnsi="Times New Roman" w:cs="Times New Roman"/>
          <w:i/>
          <w:iCs/>
          <w:color w:val="000000" w:themeColor="text1"/>
          <w:kern w:val="32"/>
          <w:szCs w:val="26"/>
        </w:rPr>
        <w:t>TOE</w:t>
      </w:r>
      <w:r w:rsidRPr="002E5414">
        <w:rPr>
          <w:rFonts w:ascii="Times New Roman" w:hAnsi="Times New Roman" w:cs="Times New Roman"/>
          <w:color w:val="000000" w:themeColor="text1"/>
          <w:kern w:val="32"/>
          <w:szCs w:val="26"/>
        </w:rPr>
        <w:t xml:space="preserve">) framework, theories of public accounting and public management, and qualitative research findings, the </w:t>
      </w:r>
      <w:r w:rsidR="002D20D4" w:rsidRPr="002E5414">
        <w:rPr>
          <w:rFonts w:ascii="Times New Roman" w:hAnsi="Times New Roman" w:cs="Times New Roman"/>
          <w:color w:val="000000" w:themeColor="text1"/>
          <w:kern w:val="32"/>
          <w:szCs w:val="26"/>
        </w:rPr>
        <w:t>dissertation</w:t>
      </w:r>
      <w:r w:rsidRPr="002E5414">
        <w:rPr>
          <w:rFonts w:ascii="Times New Roman" w:hAnsi="Times New Roman" w:cs="Times New Roman"/>
          <w:color w:val="000000" w:themeColor="text1"/>
          <w:kern w:val="32"/>
          <w:szCs w:val="26"/>
        </w:rPr>
        <w:t xml:space="preserve"> develops a set of research hypotheses. These hypotheses aim to empirically test the influence of factors categorized under the institutional environment, organizational characteristics, and technological infrastructure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within public hospitals in the Mekong Delta.</w:t>
      </w:r>
    </w:p>
    <w:p w14:paraId="59C080C6" w14:textId="77777777" w:rsidR="00886A6B" w:rsidRPr="002E5414" w:rsidRDefault="00886A6B" w:rsidP="00886A6B">
      <w:pPr>
        <w:spacing w:after="120" w:line="360" w:lineRule="auto"/>
        <w:ind w:left="1701" w:hanging="1701"/>
        <w:jc w:val="both"/>
        <w:rPr>
          <w:rFonts w:ascii="Times New Roman" w:hAnsi="Times New Roman" w:cs="Times New Roman"/>
          <w:b/>
          <w:bCs/>
          <w:color w:val="000000" w:themeColor="text1"/>
          <w:kern w:val="32"/>
          <w:szCs w:val="26"/>
        </w:rPr>
      </w:pPr>
      <w:r w:rsidRPr="002E5414">
        <w:rPr>
          <w:rFonts w:ascii="Times New Roman" w:hAnsi="Times New Roman" w:cs="Times New Roman"/>
          <w:b/>
          <w:bCs/>
          <w:color w:val="000000" w:themeColor="text1"/>
          <w:kern w:val="32"/>
          <w:szCs w:val="26"/>
        </w:rPr>
        <w:t>5.6.1. Hypotheses regarding the Institutional Environment</w:t>
      </w:r>
    </w:p>
    <w:p w14:paraId="49190505" w14:textId="77777777"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t>Within the TOE framework, the environmental context pertains to external factors that influence an entity's structure. Drawing on Institutional Theory, public hospitals in the Mekong Delta operate within a highly normative environment, facing significant pressure to comply with state regulations to ensure institutional legitimacy and legality.</w:t>
      </w:r>
    </w:p>
    <w:p w14:paraId="5FE26988" w14:textId="3EC2AA65"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1 (H1):</w:t>
      </w:r>
      <w:r w:rsidRPr="002E5414">
        <w:rPr>
          <w:rFonts w:ascii="Times New Roman" w:hAnsi="Times New Roman" w:cs="Times New Roman"/>
          <w:color w:val="000000" w:themeColor="text1"/>
          <w:kern w:val="32"/>
          <w:szCs w:val="26"/>
        </w:rPr>
        <w:t xml:space="preserve"> The Legal and Regulatory Environment (M_MTPL)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0BF762A5" w14:textId="77777777" w:rsidR="00886A6B" w:rsidRPr="002E5414" w:rsidRDefault="00886A6B" w:rsidP="00886A6B">
      <w:pPr>
        <w:spacing w:after="120" w:line="360" w:lineRule="auto"/>
        <w:ind w:left="1701" w:hanging="1701"/>
        <w:jc w:val="both"/>
        <w:rPr>
          <w:rFonts w:ascii="Times New Roman" w:hAnsi="Times New Roman" w:cs="Times New Roman"/>
          <w:b/>
          <w:bCs/>
          <w:color w:val="000000" w:themeColor="text1"/>
          <w:kern w:val="32"/>
          <w:szCs w:val="26"/>
        </w:rPr>
      </w:pPr>
      <w:r w:rsidRPr="002E5414">
        <w:rPr>
          <w:rFonts w:ascii="Times New Roman" w:hAnsi="Times New Roman" w:cs="Times New Roman"/>
          <w:b/>
          <w:bCs/>
          <w:color w:val="000000" w:themeColor="text1"/>
          <w:kern w:val="32"/>
          <w:szCs w:val="26"/>
        </w:rPr>
        <w:t>5.6.2. Hypotheses regarding Organizational Characteristics</w:t>
      </w:r>
    </w:p>
    <w:p w14:paraId="2C901E6C" w14:textId="7123A70B"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t xml:space="preserve">Organizational characteristics in the TOE framework reflect internal attributes regarding resources and governance mechanisms. The </w:t>
      </w:r>
      <w:r w:rsidR="002D20D4" w:rsidRPr="002E5414">
        <w:rPr>
          <w:rFonts w:ascii="Times New Roman" w:hAnsi="Times New Roman" w:cs="Times New Roman"/>
          <w:color w:val="000000" w:themeColor="text1"/>
          <w:kern w:val="32"/>
          <w:szCs w:val="26"/>
        </w:rPr>
        <w:t>dissertation</w:t>
      </w:r>
      <w:r w:rsidRPr="002E5414">
        <w:rPr>
          <w:rFonts w:ascii="Times New Roman" w:hAnsi="Times New Roman" w:cs="Times New Roman"/>
          <w:color w:val="000000" w:themeColor="text1"/>
          <w:kern w:val="32"/>
          <w:szCs w:val="26"/>
        </w:rPr>
        <w:t xml:space="preserve"> applies the Resource-Based View (RBV), Agency Theory, and Information Theory to develop the following hypotheses:</w:t>
      </w:r>
    </w:p>
    <w:p w14:paraId="2FEBDDD7" w14:textId="3EA677A2"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2 (H2):</w:t>
      </w:r>
      <w:r w:rsidRPr="002E5414">
        <w:rPr>
          <w:rFonts w:ascii="Times New Roman" w:hAnsi="Times New Roman" w:cs="Times New Roman"/>
          <w:color w:val="000000" w:themeColor="text1"/>
          <w:kern w:val="32"/>
          <w:szCs w:val="26"/>
        </w:rPr>
        <w:t xml:space="preserve"> The Demand for Accounting Information (M_NCTTKT)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06AA5B53" w14:textId="58AD9596"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3 (H3):</w:t>
      </w:r>
      <w:r w:rsidRPr="002E5414">
        <w:rPr>
          <w:rFonts w:ascii="Times New Roman" w:hAnsi="Times New Roman" w:cs="Times New Roman"/>
          <w:color w:val="000000" w:themeColor="text1"/>
          <w:kern w:val="32"/>
          <w:szCs w:val="26"/>
        </w:rPr>
        <w:t xml:space="preserve"> The Budget Preparation Process (M_QTLDT)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507E26F0" w14:textId="286CE725"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4 (H4):</w:t>
      </w:r>
      <w:r w:rsidRPr="002E5414">
        <w:rPr>
          <w:rFonts w:ascii="Times New Roman" w:hAnsi="Times New Roman" w:cs="Times New Roman"/>
          <w:color w:val="000000" w:themeColor="text1"/>
          <w:kern w:val="32"/>
          <w:szCs w:val="26"/>
        </w:rPr>
        <w:t xml:space="preserve"> The Competency of Accounting Personnel (M_NLNVKT)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12A8B057" w14:textId="28D94B71"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lastRenderedPageBreak/>
        <w:t>Hypothesis 5 (H5):</w:t>
      </w:r>
      <w:r w:rsidRPr="002E5414">
        <w:rPr>
          <w:rFonts w:ascii="Times New Roman" w:hAnsi="Times New Roman" w:cs="Times New Roman"/>
          <w:color w:val="000000" w:themeColor="text1"/>
          <w:kern w:val="32"/>
          <w:szCs w:val="26"/>
        </w:rPr>
        <w:t xml:space="preserve"> Financial Resources for Investment (M_NTCDT) have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6C81A357" w14:textId="52C2DD7C"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6 (H6):</w:t>
      </w:r>
      <w:r w:rsidRPr="002E5414">
        <w:rPr>
          <w:rFonts w:ascii="Times New Roman" w:hAnsi="Times New Roman" w:cs="Times New Roman"/>
          <w:color w:val="000000" w:themeColor="text1"/>
          <w:kern w:val="32"/>
          <w:szCs w:val="26"/>
        </w:rPr>
        <w:t xml:space="preserve"> Risk Management (M_QLRR)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4464211D" w14:textId="77777777" w:rsidR="00886A6B" w:rsidRPr="002E5414" w:rsidRDefault="00886A6B" w:rsidP="00886A6B">
      <w:pPr>
        <w:spacing w:after="120" w:line="360" w:lineRule="auto"/>
        <w:ind w:left="1701" w:hanging="1701"/>
        <w:jc w:val="both"/>
        <w:rPr>
          <w:rFonts w:ascii="Times New Roman" w:hAnsi="Times New Roman" w:cs="Times New Roman"/>
          <w:b/>
          <w:bCs/>
          <w:color w:val="000000" w:themeColor="text1"/>
          <w:kern w:val="32"/>
          <w:szCs w:val="26"/>
        </w:rPr>
      </w:pPr>
      <w:r w:rsidRPr="002E5414">
        <w:rPr>
          <w:rFonts w:ascii="Times New Roman" w:hAnsi="Times New Roman" w:cs="Times New Roman"/>
          <w:b/>
          <w:bCs/>
          <w:color w:val="000000" w:themeColor="text1"/>
          <w:kern w:val="32"/>
          <w:szCs w:val="26"/>
        </w:rPr>
        <w:t>5.6.3. Hypotheses regarding Infrastructure and Technology</w:t>
      </w:r>
    </w:p>
    <w:p w14:paraId="50572D93" w14:textId="77777777" w:rsidR="00886A6B"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color w:val="000000" w:themeColor="text1"/>
          <w:kern w:val="32"/>
          <w:szCs w:val="26"/>
        </w:rPr>
        <w:t>In the TOE framework, technology acts as a primary driver of innovation that facilitates the efficiency of the accounting organizational structure in public hospitals in the Mekong Delta.</w:t>
      </w:r>
    </w:p>
    <w:p w14:paraId="34BC559F" w14:textId="5C864095" w:rsidR="007404BF" w:rsidRPr="002E5414" w:rsidRDefault="00886A6B" w:rsidP="007404BF">
      <w:pPr>
        <w:spacing w:line="360" w:lineRule="auto"/>
        <w:ind w:firstLine="567"/>
        <w:jc w:val="both"/>
        <w:rPr>
          <w:rFonts w:ascii="Times New Roman" w:hAnsi="Times New Roman" w:cs="Times New Roman"/>
          <w:color w:val="000000" w:themeColor="text1"/>
          <w:kern w:val="32"/>
          <w:szCs w:val="26"/>
        </w:rPr>
      </w:pPr>
      <w:r w:rsidRPr="002E5414">
        <w:rPr>
          <w:rFonts w:ascii="Times New Roman" w:hAnsi="Times New Roman" w:cs="Times New Roman"/>
          <w:i/>
          <w:iCs/>
          <w:color w:val="000000" w:themeColor="text1"/>
          <w:kern w:val="32"/>
          <w:szCs w:val="26"/>
        </w:rPr>
        <w:t>Hypothesis 7 (H7):</w:t>
      </w:r>
      <w:r w:rsidRPr="002E5414">
        <w:rPr>
          <w:rFonts w:ascii="Times New Roman" w:hAnsi="Times New Roman" w:cs="Times New Roman"/>
          <w:color w:val="000000" w:themeColor="text1"/>
          <w:kern w:val="32"/>
          <w:szCs w:val="26"/>
        </w:rPr>
        <w:t xml:space="preserve"> Information Technology (M_CNTT) has a positive impact on the Organization of Accounting </w:t>
      </w:r>
      <w:r w:rsidR="00B8228E" w:rsidRPr="002E5414">
        <w:rPr>
          <w:rFonts w:ascii="Times New Roman" w:hAnsi="Times New Roman" w:cs="Times New Roman"/>
          <w:color w:val="000000" w:themeColor="text1"/>
          <w:kern w:val="32"/>
          <w:szCs w:val="26"/>
        </w:rPr>
        <w:t>Practices</w:t>
      </w:r>
      <w:r w:rsidRPr="002E5414">
        <w:rPr>
          <w:rFonts w:ascii="Times New Roman" w:hAnsi="Times New Roman" w:cs="Times New Roman"/>
          <w:color w:val="000000" w:themeColor="text1"/>
          <w:kern w:val="32"/>
          <w:szCs w:val="26"/>
        </w:rPr>
        <w:t xml:space="preserve"> (TCCTKT) in public hospitals.</w:t>
      </w:r>
    </w:p>
    <w:p w14:paraId="7182FBAE" w14:textId="4C41C370"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r w:rsidRPr="002E5414">
        <w:rPr>
          <w:noProof/>
          <w:color w:val="000000" w:themeColor="text1"/>
          <w14:ligatures w14:val="standardContextual"/>
        </w:rPr>
        <mc:AlternateContent>
          <mc:Choice Requires="wpg">
            <w:drawing>
              <wp:anchor distT="0" distB="0" distL="114300" distR="114300" simplePos="0" relativeHeight="251659264" behindDoc="0" locked="0" layoutInCell="1" allowOverlap="1" wp14:anchorId="1C142EE1" wp14:editId="7B83CCE6">
                <wp:simplePos x="0" y="0"/>
                <wp:positionH relativeFrom="page">
                  <wp:align>center</wp:align>
                </wp:positionH>
                <wp:positionV relativeFrom="paragraph">
                  <wp:posOffset>151130</wp:posOffset>
                </wp:positionV>
                <wp:extent cx="6340415" cy="4615815"/>
                <wp:effectExtent l="0" t="0" r="22860" b="13335"/>
                <wp:wrapNone/>
                <wp:docPr id="17" name="Group 17"/>
                <wp:cNvGraphicFramePr/>
                <a:graphic xmlns:a="http://schemas.openxmlformats.org/drawingml/2006/main">
                  <a:graphicData uri="http://schemas.microsoft.com/office/word/2010/wordprocessingGroup">
                    <wpg:wgp>
                      <wpg:cNvGrpSpPr/>
                      <wpg:grpSpPr>
                        <a:xfrm>
                          <a:off x="0" y="0"/>
                          <a:ext cx="6340415" cy="4615815"/>
                          <a:chOff x="0" y="0"/>
                          <a:chExt cx="6340415" cy="4615815"/>
                        </a:xfrm>
                      </wpg:grpSpPr>
                      <wps:wsp>
                        <wps:cNvPr id="19" name="Rectangle: Rounded Corners 19"/>
                        <wps:cNvSpPr/>
                        <wps:spPr>
                          <a:xfrm>
                            <a:off x="4027160" y="1613934"/>
                            <a:ext cx="1770390" cy="1126490"/>
                          </a:xfrm>
                          <a:prstGeom prst="roundRect">
                            <a:avLst/>
                          </a:prstGeom>
                          <a:ln w="38100"/>
                        </wps:spPr>
                        <wps:style>
                          <a:lnRef idx="2">
                            <a:schemeClr val="dk1"/>
                          </a:lnRef>
                          <a:fillRef idx="1">
                            <a:schemeClr val="lt1"/>
                          </a:fillRef>
                          <a:effectRef idx="0">
                            <a:schemeClr val="dk1"/>
                          </a:effectRef>
                          <a:fontRef idx="minor">
                            <a:schemeClr val="dk1"/>
                          </a:fontRef>
                        </wps:style>
                        <wps:txbx>
                          <w:txbxContent>
                            <w:p w14:paraId="2F7D4F43" w14:textId="09B46A91" w:rsidR="00557BFD" w:rsidRDefault="00557BFD" w:rsidP="0091483F">
                              <w:pPr>
                                <w:jc w:val="center"/>
                                <w:rPr>
                                  <w:rFonts w:ascii="Times New Roman" w:hAnsi="Times New Roman"/>
                                  <w:b/>
                                  <w:bCs/>
                                  <w:szCs w:val="26"/>
                                </w:rPr>
                              </w:pPr>
                              <w:r w:rsidRPr="004170B8">
                                <w:rPr>
                                  <w:rFonts w:ascii="Times New Roman" w:hAnsi="Times New Roman" w:cs="Times New Roman"/>
                                  <w:color w:val="auto"/>
                                  <w:kern w:val="32"/>
                                  <w:szCs w:val="26"/>
                                </w:rPr>
                                <w:t xml:space="preserve">The Organization of Accounting </w:t>
                              </w:r>
                              <w:r>
                                <w:rPr>
                                  <w:rFonts w:ascii="Times New Roman" w:hAnsi="Times New Roman" w:cs="Times New Roman"/>
                                  <w:color w:val="auto"/>
                                  <w:kern w:val="32"/>
                                  <w:szCs w:val="26"/>
                                </w:rPr>
                                <w:t>Practices</w:t>
                              </w:r>
                            </w:p>
                            <w:p w14:paraId="75568CC3" w14:textId="77777777" w:rsidR="00557BFD" w:rsidRDefault="00557BFD" w:rsidP="0091483F">
                              <w:pPr>
                                <w:jc w:val="center"/>
                              </w:pPr>
                              <w:r>
                                <w:rPr>
                                  <w:rFonts w:ascii="Times New Roman" w:hAnsi="Times New Roman"/>
                                  <w:b/>
                                  <w:bCs/>
                                  <w:szCs w:val="26"/>
                                </w:rPr>
                                <w:t>(TCCTKT)</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0" name="Group 20"/>
                        <wpg:cNvGrpSpPr/>
                        <wpg:grpSpPr>
                          <a:xfrm>
                            <a:off x="2691443" y="0"/>
                            <a:ext cx="3381553" cy="1038225"/>
                            <a:chOff x="-530222" y="0"/>
                            <a:chExt cx="3381553" cy="1038225"/>
                          </a:xfrm>
                        </wpg:grpSpPr>
                        <wps:wsp>
                          <wps:cNvPr id="21" name="Rectangle: Rounded Corners 21"/>
                          <wps:cNvSpPr/>
                          <wps:spPr>
                            <a:xfrm>
                              <a:off x="-530222" y="0"/>
                              <a:ext cx="3381553" cy="1038225"/>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1463035D" w14:textId="7AD6B1A0" w:rsidR="00557BFD" w:rsidRPr="007404BF" w:rsidRDefault="00557BFD" w:rsidP="007404BF">
                                <w:pPr>
                                  <w:rPr>
                                    <w:rFonts w:ascii="Times New Roman" w:hAnsi="Times New Roman" w:cs="Times New Roman"/>
                                    <w:b/>
                                    <w:bCs/>
                                    <w:color w:val="000000" w:themeColor="text1"/>
                                    <w:sz w:val="24"/>
                                    <w:u w:val="single"/>
                                  </w:rPr>
                                </w:pPr>
                                <w:r w:rsidRPr="007404BF">
                                  <w:rPr>
                                    <w:rFonts w:ascii="Times New Roman" w:hAnsi="Times New Roman" w:cs="Times New Roman"/>
                                    <w:b/>
                                    <w:bCs/>
                                    <w:color w:val="000000" w:themeColor="text1"/>
                                    <w:sz w:val="24"/>
                                    <w:u w:val="single"/>
                                  </w:rPr>
                                  <w:t xml:space="preserve">1. </w:t>
                                </w:r>
                                <w:r w:rsidRPr="007404BF">
                                  <w:rPr>
                                    <w:rFonts w:ascii="Times New Roman" w:hAnsi="Times New Roman" w:cs="Times New Roman"/>
                                    <w:b/>
                                    <w:bCs/>
                                    <w:color w:val="auto"/>
                                    <w:kern w:val="32"/>
                                    <w:sz w:val="24"/>
                                    <w:u w:val="single"/>
                                  </w:rPr>
                                  <w:t>THE INSTITUTIONAL ENVIRONMENT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 name="Rectangle 22"/>
                          <wps:cNvSpPr>
                            <a:spLocks noChangeArrowheads="1"/>
                          </wps:cNvSpPr>
                          <wps:spPr bwMode="auto">
                            <a:xfrm>
                              <a:off x="327259" y="409384"/>
                              <a:ext cx="2222148" cy="532067"/>
                            </a:xfrm>
                            <a:prstGeom prst="rect">
                              <a:avLst/>
                            </a:prstGeom>
                            <a:solidFill>
                              <a:srgbClr val="FFFFFF"/>
                            </a:solidFill>
                            <a:ln w="9525">
                              <a:noFill/>
                              <a:miter lim="800000"/>
                            </a:ln>
                          </wps:spPr>
                          <wps:txbx>
                            <w:txbxContent>
                              <w:p w14:paraId="3584B744" w14:textId="7F83EBED"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The Legal and Regulatory Environment</w:t>
                                </w:r>
                                <w:r>
                                  <w:rPr>
                                    <w:rFonts w:ascii="Times New Roman" w:hAnsi="Times New Roman"/>
                                    <w:szCs w:val="26"/>
                                  </w:rPr>
                                  <w:t xml:space="preserve"> (MTPL) –</w:t>
                                </w:r>
                                <w:r>
                                  <w:rPr>
                                    <w:rFonts w:ascii="Times New Roman" w:hAnsi="Times New Roman"/>
                                    <w:b/>
                                    <w:bCs/>
                                    <w:szCs w:val="26"/>
                                  </w:rPr>
                                  <w:t xml:space="preserve"> H1</w:t>
                                </w:r>
                              </w:p>
                            </w:txbxContent>
                          </wps:txbx>
                          <wps:bodyPr rot="0" vert="horz" wrap="square" lIns="91440" tIns="45720" rIns="91440" bIns="45720" anchor="t" anchorCtr="0" upright="1">
                            <a:noAutofit/>
                          </wps:bodyPr>
                        </wps:wsp>
                      </wpg:grpSp>
                      <wpg:grpSp>
                        <wpg:cNvPr id="24" name="Group 24"/>
                        <wpg:cNvGrpSpPr/>
                        <wpg:grpSpPr>
                          <a:xfrm>
                            <a:off x="0" y="94890"/>
                            <a:ext cx="2565400" cy="4520925"/>
                            <a:chOff x="0" y="-118486"/>
                            <a:chExt cx="2565779" cy="3809530"/>
                          </a:xfrm>
                        </wpg:grpSpPr>
                        <wps:wsp>
                          <wps:cNvPr id="26" name="Rectangle: Rounded Corners 26"/>
                          <wps:cNvSpPr/>
                          <wps:spPr>
                            <a:xfrm>
                              <a:off x="0" y="-118486"/>
                              <a:ext cx="2565779" cy="3809530"/>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F77732F" w14:textId="736BD40B" w:rsidR="00557BFD" w:rsidRPr="007404BF" w:rsidRDefault="00557BFD" w:rsidP="007404BF">
                                <w:pPr>
                                  <w:jc w:val="center"/>
                                  <w:rPr>
                                    <w:rFonts w:ascii="Times New Roman" w:hAnsi="Times New Roman" w:cs="Times New Roman"/>
                                    <w:b/>
                                    <w:bCs/>
                                    <w:color w:val="auto"/>
                                    <w:kern w:val="32"/>
                                    <w:sz w:val="24"/>
                                    <w:u w:val="single"/>
                                  </w:rPr>
                                </w:pPr>
                                <w:r w:rsidRPr="007404BF">
                                  <w:rPr>
                                    <w:rFonts w:ascii="Times New Roman" w:hAnsi="Times New Roman" w:cs="Times New Roman"/>
                                    <w:b/>
                                    <w:bCs/>
                                    <w:color w:val="000000" w:themeColor="text1"/>
                                    <w:sz w:val="24"/>
                                    <w:u w:val="single"/>
                                  </w:rPr>
                                  <w:t xml:space="preserve">2. </w:t>
                                </w:r>
                                <w:r w:rsidRPr="007404BF">
                                  <w:rPr>
                                    <w:rFonts w:ascii="Times New Roman" w:hAnsi="Times New Roman" w:cs="Times New Roman"/>
                                    <w:b/>
                                    <w:bCs/>
                                    <w:color w:val="auto"/>
                                    <w:kern w:val="32"/>
                                    <w:sz w:val="24"/>
                                    <w:u w:val="single"/>
                                  </w:rPr>
                                  <w:t>ORGANIZATIONAL CHARACTERISTICS</w:t>
                                </w:r>
                              </w:p>
                              <w:p w14:paraId="0AB29167" w14:textId="77777777" w:rsidR="00557BFD" w:rsidRDefault="00557BFD" w:rsidP="0091483F">
                                <w:pPr>
                                  <w:jc w:val="center"/>
                                  <w:rPr>
                                    <w:rFonts w:ascii="Times New Roman" w:hAnsi="Times New Roman" w:cs="Times New Roman"/>
                                    <w:b/>
                                    <w:bCs/>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Rectangle 27"/>
                          <wps:cNvSpPr>
                            <a:spLocks noChangeArrowheads="1"/>
                          </wps:cNvSpPr>
                          <wps:spPr bwMode="auto">
                            <a:xfrm>
                              <a:off x="86277" y="423081"/>
                              <a:ext cx="2179253" cy="520065"/>
                            </a:xfrm>
                            <a:prstGeom prst="rect">
                              <a:avLst/>
                            </a:prstGeom>
                            <a:solidFill>
                              <a:srgbClr val="FFFFFF"/>
                            </a:solidFill>
                            <a:ln w="9525">
                              <a:noFill/>
                              <a:miter lim="800000"/>
                            </a:ln>
                          </wps:spPr>
                          <wps:txbx>
                            <w:txbxContent>
                              <w:p w14:paraId="648AB6DA" w14:textId="1C8D7122" w:rsidR="00557BFD" w:rsidRDefault="00557BFD" w:rsidP="0091483F">
                                <w:pPr>
                                  <w:jc w:val="center"/>
                                  <w:rPr>
                                    <w:rFonts w:ascii="Times New Roman" w:hAnsi="Times New Roman"/>
                                    <w:szCs w:val="26"/>
                                  </w:rPr>
                                </w:pPr>
                                <w:r w:rsidRPr="007404BF">
                                  <w:rPr>
                                    <w:rFonts w:ascii="Times New Roman" w:hAnsi="Times New Roman"/>
                                    <w:szCs w:val="26"/>
                                  </w:rPr>
                                  <w:t>The Demand for Accounting Information</w:t>
                                </w:r>
                                <w:r>
                                  <w:rPr>
                                    <w:rFonts w:ascii="Times New Roman" w:hAnsi="Times New Roman"/>
                                    <w:szCs w:val="26"/>
                                  </w:rPr>
                                  <w:t xml:space="preserve"> (NCTTKT) -</w:t>
                                </w:r>
                                <w:r>
                                  <w:rPr>
                                    <w:rFonts w:ascii="Times New Roman" w:hAnsi="Times New Roman"/>
                                    <w:b/>
                                    <w:bCs/>
                                    <w:szCs w:val="26"/>
                                  </w:rPr>
                                  <w:t>H2</w:t>
                                </w:r>
                              </w:p>
                            </w:txbxContent>
                          </wps:txbx>
                          <wps:bodyPr rot="0" vert="horz" wrap="square" lIns="91440" tIns="45720" rIns="91440" bIns="45720" anchor="t" anchorCtr="0" upright="1">
                            <a:noAutofit/>
                          </wps:bodyPr>
                        </wps:wsp>
                        <wps:wsp>
                          <wps:cNvPr id="28" name="Rectangle 28"/>
                          <wps:cNvSpPr>
                            <a:spLocks noChangeArrowheads="1"/>
                          </wps:cNvSpPr>
                          <wps:spPr bwMode="auto">
                            <a:xfrm>
                              <a:off x="86265" y="1023436"/>
                              <a:ext cx="2199811" cy="530860"/>
                            </a:xfrm>
                            <a:prstGeom prst="rect">
                              <a:avLst/>
                            </a:prstGeom>
                            <a:solidFill>
                              <a:srgbClr val="FFFFFF"/>
                            </a:solidFill>
                            <a:ln w="9525">
                              <a:noFill/>
                              <a:miter lim="800000"/>
                            </a:ln>
                          </wps:spPr>
                          <wps:txbx>
                            <w:txbxContent>
                              <w:p w14:paraId="3895AECD" w14:textId="3A84B981" w:rsidR="00557BFD" w:rsidRDefault="00557BFD" w:rsidP="0091483F">
                                <w:pPr>
                                  <w:jc w:val="center"/>
                                  <w:rPr>
                                    <w:rFonts w:ascii="Times New Roman" w:hAnsi="Times New Roman"/>
                                    <w:szCs w:val="26"/>
                                  </w:rPr>
                                </w:pPr>
                                <w:r w:rsidRPr="007404BF">
                                  <w:rPr>
                                    <w:rFonts w:ascii="Times New Roman" w:hAnsi="Times New Roman"/>
                                    <w:szCs w:val="26"/>
                                  </w:rPr>
                                  <w:t>The Budget Preparation Process</w:t>
                                </w:r>
                                <w:r>
                                  <w:rPr>
                                    <w:rFonts w:ascii="Times New Roman" w:hAnsi="Times New Roman"/>
                                    <w:szCs w:val="26"/>
                                  </w:rPr>
                                  <w:t xml:space="preserve"> (QTLDT) – </w:t>
                                </w:r>
                                <w:r>
                                  <w:rPr>
                                    <w:rFonts w:ascii="Times New Roman" w:hAnsi="Times New Roman"/>
                                    <w:b/>
                                    <w:bCs/>
                                    <w:szCs w:val="26"/>
                                  </w:rPr>
                                  <w:t>H3</w:t>
                                </w:r>
                              </w:p>
                            </w:txbxContent>
                          </wps:txbx>
                          <wps:bodyPr rot="0" vert="horz" wrap="square" lIns="91440" tIns="45720" rIns="91440" bIns="45720" anchor="t" anchorCtr="0" upright="1">
                            <a:noAutofit/>
                          </wps:bodyPr>
                        </wps:wsp>
                        <wps:wsp>
                          <wps:cNvPr id="921180960" name="Rectangle 921180960"/>
                          <wps:cNvSpPr>
                            <a:spLocks noChangeArrowheads="1"/>
                          </wps:cNvSpPr>
                          <wps:spPr bwMode="auto">
                            <a:xfrm>
                              <a:off x="86271" y="1623866"/>
                              <a:ext cx="2187967" cy="563179"/>
                            </a:xfrm>
                            <a:prstGeom prst="rect">
                              <a:avLst/>
                            </a:prstGeom>
                            <a:solidFill>
                              <a:srgbClr val="FFFFFF"/>
                            </a:solidFill>
                            <a:ln w="9525">
                              <a:noFill/>
                              <a:miter lim="800000"/>
                            </a:ln>
                          </wps:spPr>
                          <wps:txbx>
                            <w:txbxContent>
                              <w:p w14:paraId="615FADA3" w14:textId="4E90D329" w:rsidR="00557BFD" w:rsidRDefault="00557BFD" w:rsidP="0091483F">
                                <w:pPr>
                                  <w:jc w:val="center"/>
                                  <w:rPr>
                                    <w:rFonts w:ascii="Times New Roman" w:hAnsi="Times New Roman"/>
                                    <w:szCs w:val="26"/>
                                  </w:rPr>
                                </w:pPr>
                                <w:r w:rsidRPr="007404BF">
                                  <w:rPr>
                                    <w:rFonts w:ascii="Times New Roman" w:hAnsi="Times New Roman"/>
                                    <w:szCs w:val="26"/>
                                  </w:rPr>
                                  <w:t>The Competency of Accounting Personnel</w:t>
                                </w:r>
                                <w:r>
                                  <w:rPr>
                                    <w:rFonts w:ascii="Times New Roman" w:hAnsi="Times New Roman"/>
                                    <w:szCs w:val="26"/>
                                  </w:rPr>
                                  <w:t xml:space="preserve"> (NLNVKT) – </w:t>
                                </w:r>
                                <w:r>
                                  <w:rPr>
                                    <w:rFonts w:ascii="Times New Roman" w:hAnsi="Times New Roman"/>
                                    <w:b/>
                                    <w:bCs/>
                                    <w:szCs w:val="26"/>
                                  </w:rPr>
                                  <w:t>H4</w:t>
                                </w:r>
                              </w:p>
                            </w:txbxContent>
                          </wps:txbx>
                          <wps:bodyPr rot="0" vert="horz" wrap="square" lIns="91440" tIns="45720" rIns="91440" bIns="45720" anchor="t" anchorCtr="0" upright="1">
                            <a:noAutofit/>
                          </wps:bodyPr>
                        </wps:wsp>
                        <wps:wsp>
                          <wps:cNvPr id="921180961" name="Rectangle 921180961"/>
                          <wps:cNvSpPr>
                            <a:spLocks noChangeArrowheads="1"/>
                          </wps:cNvSpPr>
                          <wps:spPr bwMode="auto">
                            <a:xfrm>
                              <a:off x="218364" y="2251881"/>
                              <a:ext cx="2067881" cy="510303"/>
                            </a:xfrm>
                            <a:prstGeom prst="rect">
                              <a:avLst/>
                            </a:prstGeom>
                            <a:solidFill>
                              <a:srgbClr val="FFFFFF"/>
                            </a:solidFill>
                            <a:ln w="9525">
                              <a:noFill/>
                              <a:miter lim="800000"/>
                            </a:ln>
                          </wps:spPr>
                          <wps:txbx>
                            <w:txbxContent>
                              <w:p w14:paraId="2E9524C7" w14:textId="4C374603"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Financial Resources for Investment</w:t>
                                </w:r>
                                <w:r>
                                  <w:rPr>
                                    <w:rFonts w:ascii="Times New Roman" w:hAnsi="Times New Roman"/>
                                    <w:szCs w:val="26"/>
                                  </w:rPr>
                                  <w:t xml:space="preserve"> (NTCDT) – </w:t>
                                </w:r>
                                <w:r>
                                  <w:rPr>
                                    <w:rFonts w:ascii="Times New Roman" w:hAnsi="Times New Roman"/>
                                    <w:b/>
                                    <w:bCs/>
                                    <w:szCs w:val="26"/>
                                  </w:rPr>
                                  <w:t>H5</w:t>
                                </w:r>
                              </w:p>
                            </w:txbxContent>
                          </wps:txbx>
                          <wps:bodyPr rot="0" vert="horz" wrap="square" lIns="91440" tIns="45720" rIns="91440" bIns="45720" anchor="t" anchorCtr="0" upright="1">
                            <a:noAutofit/>
                          </wps:bodyPr>
                        </wps:wsp>
                        <wps:wsp>
                          <wps:cNvPr id="921180962" name="Rectangle 921180962"/>
                          <wps:cNvSpPr>
                            <a:spLocks noChangeArrowheads="1"/>
                          </wps:cNvSpPr>
                          <wps:spPr bwMode="auto">
                            <a:xfrm>
                              <a:off x="218364" y="2852382"/>
                              <a:ext cx="2056043" cy="563179"/>
                            </a:xfrm>
                            <a:prstGeom prst="rect">
                              <a:avLst/>
                            </a:prstGeom>
                            <a:solidFill>
                              <a:srgbClr val="FFFFFF"/>
                            </a:solidFill>
                            <a:ln w="9525">
                              <a:noFill/>
                              <a:miter lim="800000"/>
                            </a:ln>
                          </wps:spPr>
                          <wps:txbx>
                            <w:txbxContent>
                              <w:p w14:paraId="2AB0A29D" w14:textId="2E4CD6E9"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Risk Management</w:t>
                                </w:r>
                                <w:r>
                                  <w:rPr>
                                    <w:rFonts w:ascii="Times New Roman" w:hAnsi="Times New Roman"/>
                                    <w:szCs w:val="26"/>
                                  </w:rPr>
                                  <w:t xml:space="preserve"> </w:t>
                                </w:r>
                              </w:p>
                              <w:p w14:paraId="555B1CFA" w14:textId="77777777" w:rsidR="00557BFD" w:rsidRDefault="00557BFD" w:rsidP="0091483F">
                                <w:pPr>
                                  <w:jc w:val="center"/>
                                  <w:rPr>
                                    <w:rFonts w:ascii="Times New Roman" w:hAnsi="Times New Roman"/>
                                    <w:szCs w:val="26"/>
                                  </w:rPr>
                                </w:pPr>
                                <w:r>
                                  <w:rPr>
                                    <w:rFonts w:ascii="Times New Roman" w:hAnsi="Times New Roman"/>
                                    <w:szCs w:val="26"/>
                                  </w:rPr>
                                  <w:t>(QLRR) –</w:t>
                                </w:r>
                                <w:r>
                                  <w:rPr>
                                    <w:rFonts w:ascii="Times New Roman" w:hAnsi="Times New Roman"/>
                                    <w:b/>
                                    <w:bCs/>
                                    <w:szCs w:val="26"/>
                                  </w:rPr>
                                  <w:t xml:space="preserve"> H6</w:t>
                                </w:r>
                              </w:p>
                            </w:txbxContent>
                          </wps:txbx>
                          <wps:bodyPr rot="0" vert="horz" wrap="square" lIns="91440" tIns="45720" rIns="91440" bIns="45720" anchor="t" anchorCtr="0" upright="1">
                            <a:noAutofit/>
                          </wps:bodyPr>
                        </wps:wsp>
                      </wpg:grpSp>
                      <wpg:grpSp>
                        <wpg:cNvPr id="921180963" name="Group 921180963"/>
                        <wpg:cNvGrpSpPr/>
                        <wpg:grpSpPr>
                          <a:xfrm>
                            <a:off x="2803585" y="3549999"/>
                            <a:ext cx="3536830" cy="1038225"/>
                            <a:chOff x="-190916" y="-1275"/>
                            <a:chExt cx="3286953" cy="1038225"/>
                          </a:xfrm>
                        </wpg:grpSpPr>
                        <wps:wsp>
                          <wps:cNvPr id="921180964" name="Rectangle: Rounded Corners 921180964"/>
                          <wps:cNvSpPr/>
                          <wps:spPr>
                            <a:xfrm>
                              <a:off x="-190916" y="-1275"/>
                              <a:ext cx="3286953" cy="1038225"/>
                            </a:xfrm>
                            <a:prstGeom prst="round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237388A6" w14:textId="07CF2C86" w:rsidR="00557BFD" w:rsidRPr="007404BF" w:rsidRDefault="00557BFD" w:rsidP="007404BF">
                                <w:pPr>
                                  <w:rPr>
                                    <w:rFonts w:ascii="Times New Roman" w:hAnsi="Times New Roman" w:cs="Times New Roman"/>
                                    <w:b/>
                                    <w:bCs/>
                                    <w:color w:val="000000" w:themeColor="text1"/>
                                    <w:sz w:val="24"/>
                                    <w:u w:val="single"/>
                                  </w:rPr>
                                </w:pPr>
                                <w:r w:rsidRPr="007404BF">
                                  <w:rPr>
                                    <w:rFonts w:ascii="Times New Roman" w:hAnsi="Times New Roman" w:cs="Times New Roman"/>
                                    <w:b/>
                                    <w:bCs/>
                                    <w:color w:val="000000" w:themeColor="text1"/>
                                    <w:sz w:val="24"/>
                                    <w:u w:val="single"/>
                                  </w:rPr>
                                  <w:t>3. INFRASTRUCTURE AND</w:t>
                                </w:r>
                                <w:r>
                                  <w:rPr>
                                    <w:rFonts w:ascii="Times New Roman" w:hAnsi="Times New Roman" w:cs="Times New Roman"/>
                                    <w:b/>
                                    <w:bCs/>
                                    <w:color w:val="000000" w:themeColor="text1"/>
                                    <w:sz w:val="24"/>
                                    <w:u w:val="single"/>
                                  </w:rPr>
                                  <w:t xml:space="preserve"> </w:t>
                                </w:r>
                                <w:r w:rsidRPr="007404BF">
                                  <w:rPr>
                                    <w:rFonts w:ascii="Times New Roman" w:hAnsi="Times New Roman" w:cs="Times New Roman"/>
                                    <w:b/>
                                    <w:bCs/>
                                    <w:color w:val="000000" w:themeColor="text1"/>
                                    <w:sz w:val="24"/>
                                    <w:u w:val="single"/>
                                  </w:rPr>
                                  <w:t>TECHNOLOGY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1180965" name="Rectangle 921180965"/>
                          <wps:cNvSpPr>
                            <a:spLocks noChangeArrowheads="1"/>
                          </wps:cNvSpPr>
                          <wps:spPr bwMode="auto">
                            <a:xfrm>
                              <a:off x="327546" y="409433"/>
                              <a:ext cx="1733034" cy="532067"/>
                            </a:xfrm>
                            <a:prstGeom prst="rect">
                              <a:avLst/>
                            </a:prstGeom>
                            <a:solidFill>
                              <a:srgbClr val="FFFFFF"/>
                            </a:solidFill>
                            <a:ln w="9525">
                              <a:noFill/>
                              <a:miter lim="800000"/>
                            </a:ln>
                          </wps:spPr>
                          <wps:txbx>
                            <w:txbxContent>
                              <w:p w14:paraId="224E1C60" w14:textId="3800EB63"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Information Technology</w:t>
                                </w:r>
                                <w:r>
                                  <w:rPr>
                                    <w:rFonts w:ascii="Times New Roman" w:hAnsi="Times New Roman"/>
                                    <w:szCs w:val="26"/>
                                  </w:rPr>
                                  <w:t xml:space="preserve"> (CNTT) </w:t>
                                </w:r>
                                <w:r>
                                  <w:rPr>
                                    <w:rFonts w:ascii="Times New Roman" w:hAnsi="Times New Roman"/>
                                    <w:b/>
                                    <w:bCs/>
                                    <w:szCs w:val="26"/>
                                  </w:rPr>
                                  <w:t>H7</w:t>
                                </w:r>
                              </w:p>
                            </w:txbxContent>
                          </wps:txbx>
                          <wps:bodyPr rot="0" vert="horz" wrap="square" lIns="91440" tIns="45720" rIns="91440" bIns="45720" anchor="ctr" anchorCtr="0" upright="1">
                            <a:noAutofit/>
                          </wps:bodyPr>
                        </wps:wsp>
                      </wpg:grpSp>
                      <wps:wsp>
                        <wps:cNvPr id="921180966" name="Straight Arrow Connector 921180966"/>
                        <wps:cNvCnPr/>
                        <wps:spPr>
                          <a:xfrm>
                            <a:off x="2562447" y="999460"/>
                            <a:ext cx="1474337" cy="98263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7" name="Straight Arrow Connector 921180967"/>
                        <wps:cNvCnPr/>
                        <wps:spPr>
                          <a:xfrm>
                            <a:off x="2562447" y="1711842"/>
                            <a:ext cx="1447042" cy="32754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8" name="Straight Arrow Connector 921180968"/>
                        <wps:cNvCnPr/>
                        <wps:spPr>
                          <a:xfrm flipV="1">
                            <a:off x="2551814" y="2217774"/>
                            <a:ext cx="1459865" cy="15252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69" name="Straight Arrow Connector 921180969"/>
                        <wps:cNvCnPr/>
                        <wps:spPr>
                          <a:xfrm flipV="1">
                            <a:off x="2573079" y="2164612"/>
                            <a:ext cx="1378424" cy="86265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0" name="Straight Arrow Connector 921180970"/>
                        <wps:cNvCnPr/>
                        <wps:spPr>
                          <a:xfrm flipV="1">
                            <a:off x="2562447" y="2109234"/>
                            <a:ext cx="1419367" cy="24565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1" name="Straight Arrow Connector 921180971"/>
                        <wps:cNvCnPr/>
                        <wps:spPr>
                          <a:xfrm flipV="1">
                            <a:off x="4722628" y="2728137"/>
                            <a:ext cx="0" cy="81926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80972" name="Straight Arrow Connector 921180972"/>
                        <wps:cNvCnPr/>
                        <wps:spPr>
                          <a:xfrm>
                            <a:off x="4680098" y="1041991"/>
                            <a:ext cx="0" cy="5635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1C142EE1" id="Group 17" o:spid="_x0000_s1026" style="position:absolute;left:0;text-align:left;margin-left:0;margin-top:11.9pt;width:499.25pt;height:363.45pt;z-index:251659264;mso-position-horizontal:center;mso-position-horizontal-relative:page;mso-width-relative:margin;mso-height-relative:margin" coordsize="63404,4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">
                <v:roundrect id="Rectangle: Rounded Corners 19" o:spid="_x0000_s1027" style="position:absolute;left:40271;top:16139;width:17704;height:112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" fillcolor="white [3201]" strokecolor="black [3200]" strokeweight="3pt">
                  <v:stroke joinstyle="miter"/>
                  <v:textbox>
                    <w:txbxContent>
                      <w:p w14:paraId="2F7D4F43" w14:textId="09B46A91" w:rsidR="00557BFD" w:rsidRDefault="00557BFD" w:rsidP="0091483F">
                        <w:pPr>
                          <w:jc w:val="center"/>
                          <w:rPr>
                            <w:rFonts w:ascii="Times New Roman" w:hAnsi="Times New Roman"/>
                            <w:b/>
                            <w:bCs/>
                            <w:szCs w:val="26"/>
                          </w:rPr>
                        </w:pPr>
                        <w:r w:rsidRPr="004170B8">
                          <w:rPr>
                            <w:rFonts w:ascii="Times New Roman" w:hAnsi="Times New Roman" w:cs="Times New Roman"/>
                            <w:color w:val="auto"/>
                            <w:kern w:val="32"/>
                            <w:szCs w:val="26"/>
                          </w:rPr>
                          <w:t xml:space="preserve">The Organization of Accounting </w:t>
                        </w:r>
                        <w:r>
                          <w:rPr>
                            <w:rFonts w:ascii="Times New Roman" w:hAnsi="Times New Roman" w:cs="Times New Roman"/>
                            <w:color w:val="auto"/>
                            <w:kern w:val="32"/>
                            <w:szCs w:val="26"/>
                          </w:rPr>
                          <w:t>Practices</w:t>
                        </w:r>
                      </w:p>
                      <w:p w14:paraId="75568CC3" w14:textId="77777777" w:rsidR="00557BFD" w:rsidRDefault="00557BFD" w:rsidP="0091483F">
                        <w:pPr>
                          <w:jc w:val="center"/>
                        </w:pPr>
                        <w:r>
                          <w:rPr>
                            <w:rFonts w:ascii="Times New Roman" w:hAnsi="Times New Roman"/>
                            <w:b/>
                            <w:bCs/>
                            <w:szCs w:val="26"/>
                          </w:rPr>
                          <w:t>(TCCTKT)</w:t>
                        </w:r>
                      </w:p>
                    </w:txbxContent>
                  </v:textbox>
                </v:roundrect>
                <v:group id="Group 20" o:spid="_x0000_s1028" style="position:absolute;left:26914;width:33815;height:10382" coordorigin="-5302" coordsize="3381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Rectangle: Rounded Corners 21" o:spid="_x0000_s1029" style="position:absolute;left:-5302;width:33815;height:103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" fillcolor="white [3201]" strokecolor="black [3213]" strokeweight="1pt">
                    <v:stroke joinstyle="miter"/>
                    <v:textbox>
                      <w:txbxContent>
                        <w:p w14:paraId="1463035D" w14:textId="7AD6B1A0" w:rsidR="00557BFD" w:rsidRPr="007404BF" w:rsidRDefault="00557BFD" w:rsidP="007404BF">
                          <w:pPr>
                            <w:rPr>
                              <w:rFonts w:ascii="Times New Roman" w:hAnsi="Times New Roman" w:cs="Times New Roman"/>
                              <w:b/>
                              <w:bCs/>
                              <w:color w:val="000000" w:themeColor="text1"/>
                              <w:sz w:val="24"/>
                              <w:u w:val="single"/>
                            </w:rPr>
                          </w:pPr>
                          <w:r w:rsidRPr="007404BF">
                            <w:rPr>
                              <w:rFonts w:ascii="Times New Roman" w:hAnsi="Times New Roman" w:cs="Times New Roman"/>
                              <w:b/>
                              <w:bCs/>
                              <w:color w:val="000000" w:themeColor="text1"/>
                              <w:sz w:val="24"/>
                              <w:u w:val="single"/>
                            </w:rPr>
                            <w:t xml:space="preserve">1. </w:t>
                          </w:r>
                          <w:r w:rsidRPr="007404BF">
                            <w:rPr>
                              <w:rFonts w:ascii="Times New Roman" w:hAnsi="Times New Roman" w:cs="Times New Roman"/>
                              <w:b/>
                              <w:bCs/>
                              <w:color w:val="auto"/>
                              <w:kern w:val="32"/>
                              <w:sz w:val="24"/>
                              <w:u w:val="single"/>
                            </w:rPr>
                            <w:t>THE INSTITUTIONAL ENVIRONMENT</w:t>
                          </w:r>
                        </w:p>
                      </w:txbxContent>
                    </v:textbox>
                  </v:roundrect>
                  <v:rect id="Rectangle 22" o:spid="_x0000_s1030" style="position:absolute;left:3272;top:4093;width:22222;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14:paraId="3584B744" w14:textId="7F83EBED"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The Legal and Regulatory Environment</w:t>
                          </w:r>
                          <w:r>
                            <w:rPr>
                              <w:rFonts w:ascii="Times New Roman" w:hAnsi="Times New Roman"/>
                              <w:szCs w:val="26"/>
                            </w:rPr>
                            <w:t xml:space="preserve"> (MTPL) –</w:t>
                          </w:r>
                          <w:r>
                            <w:rPr>
                              <w:rFonts w:ascii="Times New Roman" w:hAnsi="Times New Roman"/>
                              <w:b/>
                              <w:bCs/>
                              <w:szCs w:val="26"/>
                            </w:rPr>
                            <w:t xml:space="preserve"> H1</w:t>
                          </w:r>
                        </w:p>
                      </w:txbxContent>
                    </v:textbox>
                  </v:rect>
                </v:group>
                <v:group id="Group 24" o:spid="_x0000_s1031" style="position:absolute;top:948;width:25654;height:45210" coordorigin=",-1184" coordsize="25657,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tangle: Rounded Corners 26" o:spid="_x0000_s1032" style="position:absolute;top:-1184;width:25657;height:380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" fillcolor="white [3201]" strokecolor="black [3213]" strokeweight="1pt">
                    <v:stroke joinstyle="miter"/>
                    <v:textbox>
                      <w:txbxContent>
                        <w:p w14:paraId="3F77732F" w14:textId="736BD40B" w:rsidR="00557BFD" w:rsidRPr="007404BF" w:rsidRDefault="00557BFD" w:rsidP="007404BF">
                          <w:pPr>
                            <w:jc w:val="center"/>
                            <w:rPr>
                              <w:rFonts w:ascii="Times New Roman" w:hAnsi="Times New Roman" w:cs="Times New Roman"/>
                              <w:b/>
                              <w:bCs/>
                              <w:color w:val="auto"/>
                              <w:kern w:val="32"/>
                              <w:sz w:val="24"/>
                              <w:u w:val="single"/>
                            </w:rPr>
                          </w:pPr>
                          <w:r w:rsidRPr="007404BF">
                            <w:rPr>
                              <w:rFonts w:ascii="Times New Roman" w:hAnsi="Times New Roman" w:cs="Times New Roman"/>
                              <w:b/>
                              <w:bCs/>
                              <w:color w:val="000000" w:themeColor="text1"/>
                              <w:sz w:val="24"/>
                              <w:u w:val="single"/>
                            </w:rPr>
                            <w:t xml:space="preserve">2. </w:t>
                          </w:r>
                          <w:r w:rsidRPr="007404BF">
                            <w:rPr>
                              <w:rFonts w:ascii="Times New Roman" w:hAnsi="Times New Roman" w:cs="Times New Roman"/>
                              <w:b/>
                              <w:bCs/>
                              <w:color w:val="auto"/>
                              <w:kern w:val="32"/>
                              <w:sz w:val="24"/>
                              <w:u w:val="single"/>
                            </w:rPr>
                            <w:t>ORGANIZATIONAL CHARACTERISTICS</w:t>
                          </w:r>
                        </w:p>
                        <w:p w14:paraId="0AB29167" w14:textId="77777777" w:rsidR="00557BFD" w:rsidRDefault="00557BFD" w:rsidP="0091483F">
                          <w:pPr>
                            <w:jc w:val="center"/>
                            <w:rPr>
                              <w:rFonts w:ascii="Times New Roman" w:hAnsi="Times New Roman" w:cs="Times New Roman"/>
                              <w:b/>
                              <w:bCs/>
                              <w:color w:val="000000" w:themeColor="text1"/>
                              <w:u w:val="single"/>
                            </w:rPr>
                          </w:pPr>
                        </w:p>
                      </w:txbxContent>
                    </v:textbox>
                  </v:roundrect>
                  <v:rect id="Rectangle 27" o:spid="_x0000_s1033" style="position:absolute;left:862;top:4230;width:21793;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textbox>
                      <w:txbxContent>
                        <w:p w14:paraId="648AB6DA" w14:textId="1C8D7122" w:rsidR="00557BFD" w:rsidRDefault="00557BFD" w:rsidP="0091483F">
                          <w:pPr>
                            <w:jc w:val="center"/>
                            <w:rPr>
                              <w:rFonts w:ascii="Times New Roman" w:hAnsi="Times New Roman"/>
                              <w:szCs w:val="26"/>
                            </w:rPr>
                          </w:pPr>
                          <w:r w:rsidRPr="007404BF">
                            <w:rPr>
                              <w:rFonts w:ascii="Times New Roman" w:hAnsi="Times New Roman"/>
                              <w:szCs w:val="26"/>
                            </w:rPr>
                            <w:t>The Demand for Accounting Information</w:t>
                          </w:r>
                          <w:r>
                            <w:rPr>
                              <w:rFonts w:ascii="Times New Roman" w:hAnsi="Times New Roman"/>
                              <w:szCs w:val="26"/>
                            </w:rPr>
                            <w:t xml:space="preserve"> (NCTTKT) -</w:t>
                          </w:r>
                          <w:r>
                            <w:rPr>
                              <w:rFonts w:ascii="Times New Roman" w:hAnsi="Times New Roman"/>
                              <w:b/>
                              <w:bCs/>
                              <w:szCs w:val="26"/>
                            </w:rPr>
                            <w:t>H2</w:t>
                          </w:r>
                        </w:p>
                      </w:txbxContent>
                    </v:textbox>
                  </v:rect>
                  <v:rect id="Rectangle 28" o:spid="_x0000_s1034" style="position:absolute;left:862;top:10234;width:21998;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14:paraId="3895AECD" w14:textId="3A84B981" w:rsidR="00557BFD" w:rsidRDefault="00557BFD" w:rsidP="0091483F">
                          <w:pPr>
                            <w:jc w:val="center"/>
                            <w:rPr>
                              <w:rFonts w:ascii="Times New Roman" w:hAnsi="Times New Roman"/>
                              <w:szCs w:val="26"/>
                            </w:rPr>
                          </w:pPr>
                          <w:r w:rsidRPr="007404BF">
                            <w:rPr>
                              <w:rFonts w:ascii="Times New Roman" w:hAnsi="Times New Roman"/>
                              <w:szCs w:val="26"/>
                            </w:rPr>
                            <w:t>The Budget Preparation Process</w:t>
                          </w:r>
                          <w:r>
                            <w:rPr>
                              <w:rFonts w:ascii="Times New Roman" w:hAnsi="Times New Roman"/>
                              <w:szCs w:val="26"/>
                            </w:rPr>
                            <w:t xml:space="preserve"> (QTLDT) – </w:t>
                          </w:r>
                          <w:r>
                            <w:rPr>
                              <w:rFonts w:ascii="Times New Roman" w:hAnsi="Times New Roman"/>
                              <w:b/>
                              <w:bCs/>
                              <w:szCs w:val="26"/>
                            </w:rPr>
                            <w:t>H3</w:t>
                          </w:r>
                        </w:p>
                      </w:txbxContent>
                    </v:textbox>
                  </v:rect>
                  <v:rect id="Rectangle 921180960" o:spid="_x0000_s1035" style="position:absolute;left:862;top:16238;width:21880;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" stroked="f">
                    <v:textbox>
                      <w:txbxContent>
                        <w:p w14:paraId="615FADA3" w14:textId="4E90D329" w:rsidR="00557BFD" w:rsidRDefault="00557BFD" w:rsidP="0091483F">
                          <w:pPr>
                            <w:jc w:val="center"/>
                            <w:rPr>
                              <w:rFonts w:ascii="Times New Roman" w:hAnsi="Times New Roman"/>
                              <w:szCs w:val="26"/>
                            </w:rPr>
                          </w:pPr>
                          <w:r w:rsidRPr="007404BF">
                            <w:rPr>
                              <w:rFonts w:ascii="Times New Roman" w:hAnsi="Times New Roman"/>
                              <w:szCs w:val="26"/>
                            </w:rPr>
                            <w:t>The Competency of Accounting Personnel</w:t>
                          </w:r>
                          <w:r>
                            <w:rPr>
                              <w:rFonts w:ascii="Times New Roman" w:hAnsi="Times New Roman"/>
                              <w:szCs w:val="26"/>
                            </w:rPr>
                            <w:t xml:space="preserve"> (NLNVKT) – </w:t>
                          </w:r>
                          <w:r>
                            <w:rPr>
                              <w:rFonts w:ascii="Times New Roman" w:hAnsi="Times New Roman"/>
                              <w:b/>
                              <w:bCs/>
                              <w:szCs w:val="26"/>
                            </w:rPr>
                            <w:t>H4</w:t>
                          </w:r>
                        </w:p>
                      </w:txbxContent>
                    </v:textbox>
                  </v:rect>
                  <v:rect id="Rectangle 921180961" o:spid="_x0000_s1036" style="position:absolute;left:2183;top:22518;width:20679;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" stroked="f">
                    <v:textbox>
                      <w:txbxContent>
                        <w:p w14:paraId="2E9524C7" w14:textId="4C374603"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Financial Resources for Investment</w:t>
                          </w:r>
                          <w:r>
                            <w:rPr>
                              <w:rFonts w:ascii="Times New Roman" w:hAnsi="Times New Roman"/>
                              <w:szCs w:val="26"/>
                            </w:rPr>
                            <w:t xml:space="preserve"> (NTCDT) – </w:t>
                          </w:r>
                          <w:r>
                            <w:rPr>
                              <w:rFonts w:ascii="Times New Roman" w:hAnsi="Times New Roman"/>
                              <w:b/>
                              <w:bCs/>
                              <w:szCs w:val="26"/>
                            </w:rPr>
                            <w:t>H5</w:t>
                          </w:r>
                        </w:p>
                      </w:txbxContent>
                    </v:textbox>
                  </v:rect>
                  <v:rect id="Rectangle 921180962" o:spid="_x0000_s1037" style="position:absolute;left:2183;top:28523;width:20561;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" stroked="f">
                    <v:textbox>
                      <w:txbxContent>
                        <w:p w14:paraId="2AB0A29D" w14:textId="2E4CD6E9"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Risk Management</w:t>
                          </w:r>
                          <w:r>
                            <w:rPr>
                              <w:rFonts w:ascii="Times New Roman" w:hAnsi="Times New Roman"/>
                              <w:szCs w:val="26"/>
                            </w:rPr>
                            <w:t xml:space="preserve"> </w:t>
                          </w:r>
                        </w:p>
                        <w:p w14:paraId="555B1CFA" w14:textId="77777777" w:rsidR="00557BFD" w:rsidRDefault="00557BFD" w:rsidP="0091483F">
                          <w:pPr>
                            <w:jc w:val="center"/>
                            <w:rPr>
                              <w:rFonts w:ascii="Times New Roman" w:hAnsi="Times New Roman"/>
                              <w:szCs w:val="26"/>
                            </w:rPr>
                          </w:pPr>
                          <w:r>
                            <w:rPr>
                              <w:rFonts w:ascii="Times New Roman" w:hAnsi="Times New Roman"/>
                              <w:szCs w:val="26"/>
                            </w:rPr>
                            <w:t>(QLRR) –</w:t>
                          </w:r>
                          <w:r>
                            <w:rPr>
                              <w:rFonts w:ascii="Times New Roman" w:hAnsi="Times New Roman"/>
                              <w:b/>
                              <w:bCs/>
                              <w:szCs w:val="26"/>
                            </w:rPr>
                            <w:t xml:space="preserve"> H6</w:t>
                          </w:r>
                        </w:p>
                      </w:txbxContent>
                    </v:textbox>
                  </v:rect>
                </v:group>
                <v:group id="Group 921180963" o:spid="_x0000_s1038" style="position:absolute;left:28035;top:35499;width:35369;height:10383" coordorigin="-1909,-12" coordsize="32869,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">
                  <v:roundrect id="Rectangle: Rounded Corners 921180964" o:spid="_x0000_s1039" style="position:absolute;left:-1909;top:-12;width:32869;height:103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" fillcolor="white [3201]" strokecolor="black [3213]" strokeweight="1pt">
                    <v:stroke joinstyle="miter"/>
                    <v:textbox>
                      <w:txbxContent>
                        <w:p w14:paraId="237388A6" w14:textId="07CF2C86" w:rsidR="00557BFD" w:rsidRPr="007404BF" w:rsidRDefault="00557BFD" w:rsidP="007404BF">
                          <w:pPr>
                            <w:rPr>
                              <w:rFonts w:ascii="Times New Roman" w:hAnsi="Times New Roman" w:cs="Times New Roman"/>
                              <w:b/>
                              <w:bCs/>
                              <w:color w:val="000000" w:themeColor="text1"/>
                              <w:sz w:val="24"/>
                              <w:u w:val="single"/>
                            </w:rPr>
                          </w:pPr>
                          <w:r w:rsidRPr="007404BF">
                            <w:rPr>
                              <w:rFonts w:ascii="Times New Roman" w:hAnsi="Times New Roman" w:cs="Times New Roman"/>
                              <w:b/>
                              <w:bCs/>
                              <w:color w:val="000000" w:themeColor="text1"/>
                              <w:sz w:val="24"/>
                              <w:u w:val="single"/>
                            </w:rPr>
                            <w:t>3. INFRASTRUCTURE AND</w:t>
                          </w:r>
                          <w:r>
                            <w:rPr>
                              <w:rFonts w:ascii="Times New Roman" w:hAnsi="Times New Roman" w:cs="Times New Roman"/>
                              <w:b/>
                              <w:bCs/>
                              <w:color w:val="000000" w:themeColor="text1"/>
                              <w:sz w:val="24"/>
                              <w:u w:val="single"/>
                            </w:rPr>
                            <w:t xml:space="preserve"> </w:t>
                          </w:r>
                          <w:r w:rsidRPr="007404BF">
                            <w:rPr>
                              <w:rFonts w:ascii="Times New Roman" w:hAnsi="Times New Roman" w:cs="Times New Roman"/>
                              <w:b/>
                              <w:bCs/>
                              <w:color w:val="000000" w:themeColor="text1"/>
                              <w:sz w:val="24"/>
                              <w:u w:val="single"/>
                            </w:rPr>
                            <w:t>TECHNOLOGY</w:t>
                          </w:r>
                        </w:p>
                      </w:txbxContent>
                    </v:textbox>
                  </v:roundrect>
                  <v:rect id="Rectangle 921180965" o:spid="_x0000_s1040" style="position:absolute;left:3275;top:4094;width:17330;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" stroked="f">
                    <v:textbox>
                      <w:txbxContent>
                        <w:p w14:paraId="224E1C60" w14:textId="3800EB63" w:rsidR="00557BFD" w:rsidRDefault="00557BFD" w:rsidP="0091483F">
                          <w:pPr>
                            <w:jc w:val="center"/>
                            <w:rPr>
                              <w:rFonts w:ascii="Times New Roman" w:hAnsi="Times New Roman"/>
                              <w:szCs w:val="26"/>
                            </w:rPr>
                          </w:pPr>
                          <w:r w:rsidRPr="007404BF">
                            <w:rPr>
                              <w:rFonts w:ascii="Times New Roman" w:hAnsi="Times New Roman" w:cs="Times New Roman"/>
                              <w:color w:val="auto"/>
                              <w:kern w:val="32"/>
                              <w:szCs w:val="26"/>
                            </w:rPr>
                            <w:t>Information Technology</w:t>
                          </w:r>
                          <w:r>
                            <w:rPr>
                              <w:rFonts w:ascii="Times New Roman" w:hAnsi="Times New Roman"/>
                              <w:szCs w:val="26"/>
                            </w:rPr>
                            <w:t xml:space="preserve"> (CNTT) </w:t>
                          </w:r>
                          <w:r>
                            <w:rPr>
                              <w:rFonts w:ascii="Times New Roman" w:hAnsi="Times New Roman"/>
                              <w:b/>
                              <w:bCs/>
                              <w:szCs w:val="26"/>
                            </w:rPr>
                            <w:t>H7</w:t>
                          </w:r>
                        </w:p>
                      </w:txbxContent>
                    </v:textbox>
                  </v:rect>
                </v:group>
                <v:shapetype id="_x0000_t32" coordsize="21600,21600" o:spt="32" o:oned="t" path="m,l21600,21600e" filled="f">
                  <v:path arrowok="t" fillok="f" o:connecttype="none"/>
                  <o:lock v:ext="edit" shapetype="t"/>
                </v:shapetype>
                <v:shape id="Straight Arrow Connector 921180966" o:spid="_x0000_s1041" type="#_x0000_t32" style="position:absolute;left:25624;top:9994;width:14743;height:9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" strokecolor="black [3213]" strokeweight="1pt">
                  <v:stroke endarrow="block" joinstyle="miter"/>
                </v:shape>
                <v:shape id="Straight Arrow Connector 921180967" o:spid="_x0000_s1042" type="#_x0000_t32" style="position:absolute;left:25624;top:17118;width:14470;height:3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" strokecolor="black [3213]" strokeweight="1pt">
                  <v:stroke endarrow="block" joinstyle="miter"/>
                </v:shape>
                <v:shape id="Straight Arrow Connector 921180968" o:spid="_x0000_s1043" type="#_x0000_t32" style="position:absolute;left:25518;top:22177;width:14598;height:152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" strokecolor="black [3213]" strokeweight="1pt">
                  <v:stroke endarrow="block" joinstyle="miter"/>
                </v:shape>
                <v:shape id="Straight Arrow Connector 921180969" o:spid="_x0000_s1044" type="#_x0000_t32" style="position:absolute;left:25730;top:21646;width:13785;height:8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" strokecolor="black [3213]" strokeweight="1pt">
                  <v:stroke endarrow="block" joinstyle="miter"/>
                </v:shape>
                <v:shape id="Straight Arrow Connector 921180970" o:spid="_x0000_s1045" type="#_x0000_t32" style="position:absolute;left:25624;top:21092;width:14194;height:2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" strokecolor="black [3213]" strokeweight="1pt">
                  <v:stroke endarrow="block" joinstyle="miter"/>
                </v:shape>
                <v:shape id="Straight Arrow Connector 921180971" o:spid="_x0000_s1046" type="#_x0000_t32" style="position:absolute;left:47226;top:27281;width:0;height:81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" strokecolor="black [3213]" strokeweight="1pt">
                  <v:stroke endarrow="block" joinstyle="miter"/>
                </v:shape>
                <v:shape id="Straight Arrow Connector 921180972" o:spid="_x0000_s1047" type="#_x0000_t32" style="position:absolute;left:46800;top:10419;width:0;height:5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" strokecolor="black [3213]" strokeweight="1pt">
                  <v:stroke endarrow="block" joinstyle="miter"/>
                </v:shape>
                <w10:wrap anchorx="page"/>
              </v:group>
            </w:pict>
          </mc:Fallback>
        </mc:AlternateContent>
      </w:r>
    </w:p>
    <w:p w14:paraId="48FE35C0"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5B60E42F"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2F1ECC52"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4B91392F"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1D4BA049"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7950CCAF"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2BC9504F"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651AAE8E"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4BA75ED8"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bookmarkEnd w:id="2"/>
    <w:p w14:paraId="6EEE5577" w14:textId="77777777"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48519DA2" w14:textId="23BEA239" w:rsidR="0091483F" w:rsidRPr="002E5414" w:rsidRDefault="0091483F" w:rsidP="0091483F">
      <w:pPr>
        <w:spacing w:after="120" w:line="360" w:lineRule="auto"/>
        <w:ind w:firstLine="567"/>
        <w:jc w:val="both"/>
        <w:rPr>
          <w:rFonts w:ascii="Times New Roman" w:hAnsi="Times New Roman" w:cs="Times New Roman"/>
          <w:color w:val="000000" w:themeColor="text1"/>
          <w:szCs w:val="26"/>
          <w:lang w:val="vi-VN"/>
        </w:rPr>
      </w:pPr>
    </w:p>
    <w:p w14:paraId="6362231F" w14:textId="77777777" w:rsidR="007404BF" w:rsidRPr="002E5414" w:rsidRDefault="007404BF" w:rsidP="0091483F">
      <w:pPr>
        <w:spacing w:after="120" w:line="360" w:lineRule="auto"/>
        <w:ind w:firstLine="567"/>
        <w:jc w:val="both"/>
        <w:rPr>
          <w:rFonts w:ascii="Times New Roman" w:hAnsi="Times New Roman" w:cs="Times New Roman"/>
          <w:color w:val="000000" w:themeColor="text1"/>
          <w:szCs w:val="26"/>
          <w:lang w:val="vi-VN"/>
        </w:rPr>
      </w:pPr>
    </w:p>
    <w:p w14:paraId="7E191CCD" w14:textId="77777777" w:rsidR="0091483F" w:rsidRPr="002E5414" w:rsidRDefault="0091483F" w:rsidP="0091483F">
      <w:pPr>
        <w:spacing w:line="360" w:lineRule="auto"/>
        <w:ind w:firstLine="709"/>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lang w:val="vi-VN"/>
        </w:rPr>
        <w:t xml:space="preserve"> </w:t>
      </w:r>
      <w:r w:rsidRPr="002E5414">
        <w:rPr>
          <w:rFonts w:ascii="Times New Roman" w:hAnsi="Times New Roman" w:cs="Times New Roman"/>
          <w:noProof/>
          <w:color w:val="000000" w:themeColor="text1"/>
          <w:szCs w:val="26"/>
        </w:rPr>
        <mc:AlternateContent>
          <mc:Choice Requires="wps">
            <w:drawing>
              <wp:inline distT="0" distB="0" distL="0" distR="0" wp14:anchorId="25624CF8" wp14:editId="472F9345">
                <wp:extent cx="5568950" cy="344170"/>
                <wp:effectExtent l="0" t="0" r="0" b="0"/>
                <wp:docPr id="762233618" name="Rectangle 762233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528" cy="344385"/>
                        </a:xfrm>
                        <a:prstGeom prst="rect">
                          <a:avLst/>
                        </a:prstGeom>
                        <a:solidFill>
                          <a:srgbClr val="FFFFFF"/>
                        </a:solidFill>
                        <a:ln>
                          <a:noFill/>
                        </a:ln>
                      </wps:spPr>
                      <wps:txbx>
                        <w:txbxContent>
                          <w:p w14:paraId="29A36113" w14:textId="1BA6085B" w:rsidR="00557BFD" w:rsidRDefault="00557BFD" w:rsidP="0091483F">
                            <w:pPr>
                              <w:pStyle w:val="Heading5"/>
                              <w:jc w:val="center"/>
                              <w:rPr>
                                <w:rFonts w:ascii="Times New Roman" w:hAnsi="Times New Roman"/>
                                <w:b w:val="0"/>
                                <w:bCs w:val="0"/>
                                <w:i/>
                                <w:iCs/>
                                <w:sz w:val="26"/>
                                <w:szCs w:val="26"/>
                              </w:rPr>
                            </w:pPr>
                            <w:r w:rsidRPr="007404BF">
                              <w:rPr>
                                <w:rFonts w:ascii="Times New Roman" w:hAnsi="Times New Roman"/>
                                <w:b w:val="0"/>
                                <w:bCs w:val="0"/>
                                <w:i/>
                                <w:iCs/>
                                <w:sz w:val="26"/>
                                <w:szCs w:val="26"/>
                              </w:rPr>
                              <w:t>Figure 1: Proposed Research Model</w:t>
                            </w:r>
                          </w:p>
                        </w:txbxContent>
                      </wps:txbx>
                      <wps:bodyPr rot="0" vert="horz" wrap="square" lIns="91440" tIns="45720" rIns="91440" bIns="45720" anchor="t" anchorCtr="0" upright="1">
                        <a:noAutofit/>
                      </wps:bodyPr>
                    </wps:wsp>
                  </a:graphicData>
                </a:graphic>
              </wp:inline>
            </w:drawing>
          </mc:Choice>
          <mc:Fallback xmlns:w16="http://schemas.microsoft.com/office/word/2018/wordml" xmlns:w16cex="http://schemas.microsoft.com/office/word/2018/wordml/cex">
            <w:pict>
              <v:rect w14:anchorId="25624CF8" id="Rectangle 762233618" o:spid="_x0000_s1048" style="width:438.5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" stroked="f">
                <v:textbox>
                  <w:txbxContent>
                    <w:p w14:paraId="29A36113" w14:textId="1BA6085B" w:rsidR="00557BFD" w:rsidRDefault="00557BFD" w:rsidP="0091483F">
                      <w:pPr>
                        <w:pStyle w:val="Heading5"/>
                        <w:jc w:val="center"/>
                        <w:rPr>
                          <w:rFonts w:ascii="Times New Roman" w:hAnsi="Times New Roman"/>
                          <w:b w:val="0"/>
                          <w:bCs w:val="0"/>
                          <w:i/>
                          <w:iCs/>
                          <w:sz w:val="26"/>
                          <w:szCs w:val="26"/>
                        </w:rPr>
                      </w:pPr>
                      <w:r w:rsidRPr="007404BF">
                        <w:rPr>
                          <w:rFonts w:ascii="Times New Roman" w:hAnsi="Times New Roman"/>
                          <w:b w:val="0"/>
                          <w:bCs w:val="0"/>
                          <w:i/>
                          <w:iCs/>
                          <w:sz w:val="26"/>
                          <w:szCs w:val="26"/>
                        </w:rPr>
                        <w:t>Figure 1: Proposed Research Model</w:t>
                      </w:r>
                    </w:p>
                  </w:txbxContent>
                </v:textbox>
                <w10:anchorlock/>
              </v:rect>
            </w:pict>
          </mc:Fallback>
        </mc:AlternateContent>
      </w:r>
    </w:p>
    <w:p w14:paraId="655E0082" w14:textId="77777777" w:rsidR="00557BFD" w:rsidRPr="002E5414" w:rsidRDefault="00557BFD" w:rsidP="00886A6B">
      <w:pPr>
        <w:spacing w:line="360" w:lineRule="auto"/>
        <w:jc w:val="center"/>
        <w:rPr>
          <w:rFonts w:ascii="Times New Roman" w:hAnsi="Times New Roman" w:cs="Times New Roman"/>
          <w:b/>
          <w:bCs/>
          <w:color w:val="000000" w:themeColor="text1"/>
          <w:kern w:val="32"/>
          <w:szCs w:val="26"/>
          <w:lang w:eastAsia="vi-VN"/>
        </w:rPr>
      </w:pPr>
    </w:p>
    <w:p w14:paraId="40F4EAEF" w14:textId="77777777" w:rsidR="00557BFD" w:rsidRPr="002E5414" w:rsidRDefault="00557BFD" w:rsidP="00886A6B">
      <w:pPr>
        <w:spacing w:line="360" w:lineRule="auto"/>
        <w:jc w:val="center"/>
        <w:rPr>
          <w:rFonts w:ascii="Times New Roman" w:hAnsi="Times New Roman" w:cs="Times New Roman"/>
          <w:b/>
          <w:bCs/>
          <w:color w:val="000000" w:themeColor="text1"/>
          <w:kern w:val="32"/>
          <w:szCs w:val="26"/>
          <w:lang w:eastAsia="vi-VN"/>
        </w:rPr>
      </w:pPr>
    </w:p>
    <w:p w14:paraId="27D51FB3" w14:textId="6246609A" w:rsidR="00886A6B" w:rsidRPr="002E5414" w:rsidRDefault="00886A6B" w:rsidP="00886A6B">
      <w:pPr>
        <w:spacing w:line="360" w:lineRule="auto"/>
        <w:jc w:val="center"/>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lastRenderedPageBreak/>
        <w:t xml:space="preserve">CHAPTER 1. THEORETICAL BASIS OF THE ORGANIZATION OF ACCOUNTING </w:t>
      </w:r>
      <w:r w:rsidR="00B8228E" w:rsidRPr="002E5414">
        <w:rPr>
          <w:rFonts w:ascii="Times New Roman" w:hAnsi="Times New Roman" w:cs="Times New Roman"/>
          <w:b/>
          <w:bCs/>
          <w:color w:val="000000" w:themeColor="text1"/>
          <w:kern w:val="32"/>
          <w:szCs w:val="26"/>
          <w:lang w:eastAsia="vi-VN"/>
        </w:rPr>
        <w:t>PRACTICES</w:t>
      </w:r>
      <w:r w:rsidRPr="002E5414">
        <w:rPr>
          <w:rFonts w:ascii="Times New Roman" w:hAnsi="Times New Roman" w:cs="Times New Roman"/>
          <w:b/>
          <w:bCs/>
          <w:color w:val="000000" w:themeColor="text1"/>
          <w:kern w:val="32"/>
          <w:szCs w:val="26"/>
          <w:lang w:eastAsia="vi-VN"/>
        </w:rPr>
        <w:t xml:space="preserve"> IN PUBLIC SERVICE UNITS</w:t>
      </w:r>
    </w:p>
    <w:p w14:paraId="362DF0C4" w14:textId="77777777" w:rsidR="00886A6B" w:rsidRPr="002E5414" w:rsidRDefault="00886A6B" w:rsidP="00886A6B">
      <w:pPr>
        <w:spacing w:line="360" w:lineRule="auto"/>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t>1.1. Overview of Accounting Organization in Public Service Units (PSUs)</w:t>
      </w:r>
    </w:p>
    <w:p w14:paraId="1B7A67C5" w14:textId="77777777" w:rsidR="00886A6B" w:rsidRPr="002E5414" w:rsidRDefault="00886A6B" w:rsidP="00886A6B">
      <w:pPr>
        <w:spacing w:line="360" w:lineRule="auto"/>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t>1.1.1. Concept of Public Service Units</w:t>
      </w:r>
    </w:p>
    <w:p w14:paraId="41EBBEDE"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On the international stage, researchers and standard-setting bodies, such as the International Public Sector Accounting Standards Board (IPSASB), do not define "Public Service Units" with a single term but rather consider them within the broader category of "Public Sector Entities" (IPSASB, 2021). The prevailing view identifies these units based on their operational nature and core objectives rather than their legal status alone. Accordingly, an entity is considered part of the public sector when its primary responsibility is to provide goods and services for the public interest, operating on a non-profit basis, and being primarily funded by the State budget through taxes, fees, or transfer payments (Barton, 2009). The focus of governance and financial reporting for these units is not profit maximization for shareholders, but rather accountability for the use of public resources and the efficiency of achieving social objectives. Accountability is also reflected through sustainability—the capacity of the public sector entity to continue providing services in the future (Chan, 2003).</w:t>
      </w:r>
    </w:p>
    <w:p w14:paraId="0C061D5F"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International Public Sector Accounting Standards (IPSAS 6, IPSAS 22) clarify that public sector entities are defined by two main factors: government control and non-commercial operational objectives. This framework encompasses all regulatory bodies and public service entities controlled by the Government, excluding state-owned enterprises with commercial objectives. The hallmark of these units is their continuous existence and operation based on public funding. This comprehensive definition, linked to the nature of control and funding sources, is highly consistent with the practicalities of management and socio-economic development in Vietnam.</w:t>
      </w:r>
    </w:p>
    <w:p w14:paraId="61A18D5E" w14:textId="5977EBF7" w:rsidR="00886A6B" w:rsidRPr="002E5414" w:rsidRDefault="00557BFD"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While Circular No. 24/2024/TT-BTC on the administrative and public service sector regime does not directly define PSUs, it specifies the entities subject to its application.</w:t>
      </w:r>
      <w:r w:rsidR="00886A6B" w:rsidRPr="002E5414">
        <w:rPr>
          <w:rFonts w:ascii="Times New Roman" w:hAnsi="Times New Roman" w:cs="Times New Roman"/>
          <w:color w:val="000000" w:themeColor="text1"/>
          <w:kern w:val="32"/>
          <w:szCs w:val="26"/>
          <w:lang w:eastAsia="vi-VN"/>
        </w:rPr>
        <w:t xml:space="preserve"> PSUs are specialized accounting entities governed by a distinct system of accounts and processes that reflect the characteristics of funding from the State budget, aid, and service activities. Consequently, this </w:t>
      </w:r>
      <w:r w:rsidR="002D20D4" w:rsidRPr="002E5414">
        <w:rPr>
          <w:rFonts w:ascii="Times New Roman" w:hAnsi="Times New Roman" w:cs="Times New Roman"/>
          <w:color w:val="000000" w:themeColor="text1"/>
          <w:kern w:val="32"/>
          <w:szCs w:val="26"/>
          <w:lang w:eastAsia="vi-VN"/>
        </w:rPr>
        <w:t>dissertation</w:t>
      </w:r>
      <w:r w:rsidR="00886A6B" w:rsidRPr="002E5414">
        <w:rPr>
          <w:rFonts w:ascii="Times New Roman" w:hAnsi="Times New Roman" w:cs="Times New Roman"/>
          <w:color w:val="000000" w:themeColor="text1"/>
          <w:kern w:val="32"/>
          <w:szCs w:val="26"/>
          <w:lang w:eastAsia="vi-VN"/>
        </w:rPr>
        <w:t xml:space="preserve"> adopts a synthesized concept: "A Public Service Unit is an organization established by a competent State authority, possessing legal personality, and operating in specific professional fields to provide public services and support state management. Financially, PSUs operate under a </w:t>
      </w:r>
      <w:r w:rsidR="00886A6B" w:rsidRPr="002E5414">
        <w:rPr>
          <w:rFonts w:ascii="Times New Roman" w:hAnsi="Times New Roman" w:cs="Times New Roman"/>
          <w:color w:val="000000" w:themeColor="text1"/>
          <w:kern w:val="32"/>
          <w:szCs w:val="26"/>
          <w:lang w:eastAsia="vi-VN"/>
        </w:rPr>
        <w:lastRenderedPageBreak/>
        <w:t>financial autonomy mechanism as prescribed by Decree No. 60/2021/ND-CP and Decree No. 111/2025/ND-CP, with funding primarily derived from the State budget and other service-related revenues. In terms of accounting, the unit is a specialized accounting entity subject to the public sector accounting regime, responsible for recording and reporting financial information transparently to serve management and State oversight."</w:t>
      </w:r>
    </w:p>
    <w:p w14:paraId="0DB93069" w14:textId="77777777" w:rsidR="00886A6B" w:rsidRPr="002E5414" w:rsidRDefault="00886A6B" w:rsidP="00886A6B">
      <w:pPr>
        <w:spacing w:line="360" w:lineRule="auto"/>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t>1.1.2. Classification of Public Service Units</w:t>
      </w:r>
    </w:p>
    <w:p w14:paraId="1482D6C8" w14:textId="77777777" w:rsidR="00886A6B" w:rsidRPr="002E5414" w:rsidRDefault="00886A6B" w:rsidP="00886A6B">
      <w:pPr>
        <w:spacing w:line="360" w:lineRule="auto"/>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1.1.2.1. Classification by Budget Relationship Identification (Budget Codes)</w:t>
      </w:r>
    </w:p>
    <w:p w14:paraId="7A7677B1" w14:textId="77777777" w:rsidR="00886A6B" w:rsidRPr="002E5414" w:rsidRDefault="00886A6B" w:rsidP="00B8228E">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Under Circular No. 185/2015/TT-BTC, PSUs are managed and classified through the issuance of identification codes for units having relationships with the State budget (hereafter referred to as Budget Codes). These unique identifiers allow governing bodies and financial management agencies (such as the State Treasury) to unify the management and oversight of budget revenues and expenditures nationwide. Furthermore, Budget Codes serve as the foundation for aggregating financial statements and budget settlement reports, supporting statistical analysis and macro-financial policy formulation.</w:t>
      </w:r>
    </w:p>
    <w:p w14:paraId="2DDAB49E" w14:textId="77777777" w:rsidR="00886A6B" w:rsidRPr="002E5414" w:rsidRDefault="00886A6B" w:rsidP="00886A6B">
      <w:pPr>
        <w:spacing w:line="360" w:lineRule="auto"/>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1.1.2.2. Classification by Financial Autonomy Rights</w:t>
      </w:r>
    </w:p>
    <w:p w14:paraId="3A4FD9DB"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The financial autonomy mechanism is a cornerstone of public financial reform, aimed at increasing the proactivity, efficiency, and accountability of PSUs. Based on Decree No. 60/2021/ND-CP and Decree No. 111/2025/ND-CP, PSUs are classified into four primary groups based on their capacity to self-finance recurrent and investment expenditures:</w:t>
      </w:r>
    </w:p>
    <w:p w14:paraId="246572D6"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Group 1: Units that fully self-finance both recurrent and investment expenditures. These units possess the highest degree of autonomy and bear full responsibility for their financial obligations.</w:t>
      </w:r>
    </w:p>
    <w:p w14:paraId="62F35222"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Group 2: Units that self-finance recurrent expenditures. While independent in daily operations, they may still receive state support for capital investments.</w:t>
      </w:r>
    </w:p>
    <w:p w14:paraId="2BA2CCC0"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Group 3: Units that partially self-finance recurrent expenditures. They receive state subsidies for a portion of their operating costs and all investment expenditures.</w:t>
      </w:r>
    </w:p>
    <w:p w14:paraId="1F95B8E5"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Group 4: Units whose recurrent expenditures are entirely guaranteed by the State. These are primarily units with limited revenue-generating capacity.</w:t>
      </w:r>
    </w:p>
    <w:p w14:paraId="4DE2E62F" w14:textId="77777777" w:rsidR="00886A6B" w:rsidRPr="002E5414" w:rsidRDefault="00886A6B" w:rsidP="00886A6B">
      <w:pPr>
        <w:spacing w:line="360" w:lineRule="auto"/>
        <w:ind w:firstLine="567"/>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 xml:space="preserve">This classification is particularly significant for the organization of accounting, as it dictates the applicable chart of accounts and bookkeeping methods. For instance, </w:t>
      </w:r>
      <w:r w:rsidRPr="002E5414">
        <w:rPr>
          <w:rFonts w:ascii="Times New Roman" w:hAnsi="Times New Roman" w:cs="Times New Roman"/>
          <w:color w:val="000000" w:themeColor="text1"/>
          <w:kern w:val="32"/>
          <w:szCs w:val="26"/>
          <w:lang w:eastAsia="vi-VN"/>
        </w:rPr>
        <w:lastRenderedPageBreak/>
        <w:t>Group 1 and Group 2 units may be permitted to apply certain accounting regulations similar to corporate standards, whereas Group 3 and Group 4 units must strictly adhere to the public sector accounting regime.</w:t>
      </w:r>
    </w:p>
    <w:p w14:paraId="14A56D5F" w14:textId="77777777" w:rsidR="00886A6B" w:rsidRPr="002E5414" w:rsidRDefault="00886A6B" w:rsidP="00886A6B">
      <w:pPr>
        <w:spacing w:line="360" w:lineRule="auto"/>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1.1.3. State Financial Management Mechanisms and their impact on PSU Accounting</w:t>
      </w:r>
    </w:p>
    <w:p w14:paraId="29619640" w14:textId="77777777" w:rsidR="00886A6B" w:rsidRPr="002E5414" w:rsidRDefault="00886A6B" w:rsidP="00886A6B">
      <w:pPr>
        <w:spacing w:line="360" w:lineRule="auto"/>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1.1.4. The Role of Accounting in PSUs</w:t>
      </w:r>
    </w:p>
    <w:p w14:paraId="1FCDECB2" w14:textId="77777777" w:rsidR="00886A6B" w:rsidRPr="002E5414" w:rsidRDefault="00886A6B" w:rsidP="00886A6B">
      <w:pPr>
        <w:spacing w:line="360" w:lineRule="auto"/>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1.1.5. Legal Basis for Accounting in PSUs</w:t>
      </w:r>
    </w:p>
    <w:p w14:paraId="39FE1B2B" w14:textId="77777777" w:rsidR="00886A6B" w:rsidRPr="002E5414" w:rsidRDefault="00886A6B" w:rsidP="00886A6B">
      <w:pPr>
        <w:spacing w:line="360" w:lineRule="auto"/>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t>1.2. Organization of Accounting Systems in PSUs</w:t>
      </w:r>
    </w:p>
    <w:p w14:paraId="6465046E" w14:textId="77777777" w:rsidR="00886A6B" w:rsidRPr="002E5414" w:rsidRDefault="00886A6B" w:rsidP="00886A6B">
      <w:pPr>
        <w:spacing w:line="360" w:lineRule="auto"/>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1.2.1. Content of Accounting Organization in PSUs</w:t>
      </w:r>
    </w:p>
    <w:p w14:paraId="1267D890" w14:textId="7A5FFDF4" w:rsidR="00886A6B" w:rsidRPr="002E5414" w:rsidRDefault="00886A6B" w:rsidP="00886A6B">
      <w:pPr>
        <w:spacing w:line="360" w:lineRule="auto"/>
        <w:ind w:firstLine="567"/>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 xml:space="preserve">1.2.1.1. Organization of the Accounting </w:t>
      </w:r>
      <w:r w:rsidR="00557BFD" w:rsidRPr="002E5414">
        <w:rPr>
          <w:rFonts w:ascii="Times New Roman" w:hAnsi="Times New Roman" w:cs="Times New Roman"/>
          <w:i/>
          <w:iCs/>
          <w:color w:val="000000" w:themeColor="text1"/>
          <w:kern w:val="32"/>
          <w:szCs w:val="26"/>
          <w:lang w:eastAsia="vi-VN"/>
        </w:rPr>
        <w:t>System</w:t>
      </w:r>
    </w:p>
    <w:p w14:paraId="34EBD5AB" w14:textId="404AE40D" w:rsidR="00886A6B" w:rsidRPr="002E5414" w:rsidRDefault="00886A6B" w:rsidP="00886A6B">
      <w:pPr>
        <w:spacing w:line="360" w:lineRule="auto"/>
        <w:ind w:firstLine="567"/>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1.2.1.2. Organization of Data Collection, Verification, and Storage</w:t>
      </w:r>
    </w:p>
    <w:p w14:paraId="5670D44A" w14:textId="453FEBEE" w:rsidR="00886A6B" w:rsidRPr="002E5414" w:rsidRDefault="00886A6B" w:rsidP="00886A6B">
      <w:pPr>
        <w:spacing w:line="360" w:lineRule="auto"/>
        <w:ind w:firstLine="567"/>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1.2.1.3. Organization of Information Processing and Systematization</w:t>
      </w:r>
    </w:p>
    <w:p w14:paraId="418D0C8D" w14:textId="2D342A1A" w:rsidR="00886A6B" w:rsidRPr="002E5414" w:rsidRDefault="00886A6B" w:rsidP="00886A6B">
      <w:pPr>
        <w:spacing w:line="360" w:lineRule="auto"/>
        <w:ind w:firstLine="567"/>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1.2.1.4. Organization of Information Provision</w:t>
      </w:r>
    </w:p>
    <w:p w14:paraId="5B2745C0" w14:textId="66F702D2" w:rsidR="00886A6B" w:rsidRPr="002E5414" w:rsidRDefault="00886A6B" w:rsidP="00886A6B">
      <w:pPr>
        <w:spacing w:line="360" w:lineRule="auto"/>
        <w:ind w:firstLine="567"/>
        <w:rPr>
          <w:rFonts w:ascii="Times New Roman" w:hAnsi="Times New Roman" w:cs="Times New Roman"/>
          <w:i/>
          <w:iCs/>
          <w:color w:val="000000" w:themeColor="text1"/>
          <w:kern w:val="32"/>
          <w:szCs w:val="26"/>
          <w:lang w:eastAsia="vi-VN"/>
        </w:rPr>
      </w:pPr>
      <w:r w:rsidRPr="002E5414">
        <w:rPr>
          <w:rFonts w:ascii="Times New Roman" w:hAnsi="Times New Roman" w:cs="Times New Roman"/>
          <w:i/>
          <w:iCs/>
          <w:color w:val="000000" w:themeColor="text1"/>
          <w:kern w:val="32"/>
          <w:szCs w:val="26"/>
          <w:lang w:eastAsia="vi-VN"/>
        </w:rPr>
        <w:t>1.2.1.5. Organization of Financial Analysis for Decision-Making</w:t>
      </w:r>
    </w:p>
    <w:p w14:paraId="0CABD05D" w14:textId="77777777" w:rsidR="00886A6B" w:rsidRPr="002E5414" w:rsidRDefault="00886A6B" w:rsidP="0028291C">
      <w:pPr>
        <w:spacing w:line="360" w:lineRule="auto"/>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1.2.2. Impacting Factors and Theoretical Frameworks</w:t>
      </w:r>
    </w:p>
    <w:p w14:paraId="6104FA49" w14:textId="77777777" w:rsidR="0028291C" w:rsidRPr="002E5414" w:rsidRDefault="0028291C" w:rsidP="0028291C">
      <w:pPr>
        <w:spacing w:line="360" w:lineRule="auto"/>
        <w:jc w:val="both"/>
        <w:rPr>
          <w:rFonts w:ascii="Times New Roman" w:hAnsi="Times New Roman" w:cs="Times New Roman"/>
          <w:b/>
          <w:bCs/>
          <w:color w:val="000000" w:themeColor="text1"/>
          <w:kern w:val="32"/>
          <w:szCs w:val="26"/>
          <w:lang w:eastAsia="vi-VN"/>
        </w:rPr>
      </w:pPr>
      <w:r w:rsidRPr="002E5414">
        <w:rPr>
          <w:rFonts w:ascii="Times New Roman" w:hAnsi="Times New Roman" w:cs="Times New Roman"/>
          <w:b/>
          <w:bCs/>
          <w:color w:val="000000" w:themeColor="text1"/>
          <w:kern w:val="32"/>
          <w:szCs w:val="26"/>
          <w:lang w:eastAsia="vi-VN"/>
        </w:rPr>
        <w:t>1.3. Experience of Selected Typical Countries and Lessons Learned on the Organization of Accounting Practices</w:t>
      </w:r>
    </w:p>
    <w:p w14:paraId="1702AA39" w14:textId="77777777" w:rsidR="0028291C" w:rsidRPr="002E5414" w:rsidRDefault="0028291C" w:rsidP="0028291C">
      <w:pPr>
        <w:spacing w:line="360" w:lineRule="auto"/>
        <w:jc w:val="both"/>
        <w:rPr>
          <w:rFonts w:ascii="Times New Roman" w:hAnsi="Times New Roman" w:cs="Times New Roman"/>
          <w:color w:val="000000" w:themeColor="text1"/>
          <w:kern w:val="32"/>
          <w:szCs w:val="26"/>
          <w:lang w:eastAsia="vi-VN"/>
        </w:rPr>
      </w:pPr>
      <w:r w:rsidRPr="002E5414">
        <w:rPr>
          <w:rFonts w:ascii="Times New Roman" w:hAnsi="Times New Roman" w:cs="Times New Roman"/>
          <w:color w:val="000000" w:themeColor="text1"/>
          <w:kern w:val="32"/>
          <w:szCs w:val="26"/>
          <w:lang w:eastAsia="vi-VN"/>
        </w:rPr>
        <w:t>1.3.1. Experience of Selected Typical Countries in Organizing Accounting Practices</w:t>
      </w:r>
    </w:p>
    <w:p w14:paraId="6EC438E0" w14:textId="5C490F2B" w:rsidR="0091483F" w:rsidRPr="002E5414" w:rsidRDefault="0028291C" w:rsidP="0028291C">
      <w:pPr>
        <w:spacing w:line="360" w:lineRule="auto"/>
        <w:jc w:val="both"/>
        <w:rPr>
          <w:color w:val="000000" w:themeColor="text1"/>
          <w:szCs w:val="26"/>
        </w:rPr>
      </w:pPr>
      <w:r w:rsidRPr="002E5414">
        <w:rPr>
          <w:rFonts w:ascii="Times New Roman" w:hAnsi="Times New Roman" w:cs="Times New Roman"/>
          <w:color w:val="000000" w:themeColor="text1"/>
          <w:kern w:val="32"/>
          <w:szCs w:val="26"/>
          <w:lang w:eastAsia="vi-VN"/>
        </w:rPr>
        <w:t>1.3.2. Lessons Learned for the Organization of Public Sector Accounting Practices in Vietnam</w:t>
      </w:r>
    </w:p>
    <w:p w14:paraId="03854658" w14:textId="77777777" w:rsidR="00886A6B" w:rsidRPr="002E5414" w:rsidRDefault="00886A6B" w:rsidP="00886A6B">
      <w:pPr>
        <w:pStyle w:val="Heading3"/>
        <w:spacing w:line="360" w:lineRule="auto"/>
        <w:jc w:val="center"/>
        <w:rPr>
          <w:rFonts w:eastAsiaTheme="minorHAnsi"/>
          <w:color w:val="000000" w:themeColor="text1"/>
        </w:rPr>
      </w:pPr>
      <w:r w:rsidRPr="002E5414">
        <w:rPr>
          <w:rFonts w:eastAsiaTheme="minorHAnsi"/>
          <w:color w:val="000000" w:themeColor="text1"/>
        </w:rPr>
        <w:t>CHAPTER 2. THE CURRENT STATE OF ACCOUNTING ORGANIZATION IN PUBLIC HOSPITALS IN THE MEKONG DELTA REGION</w:t>
      </w:r>
    </w:p>
    <w:p w14:paraId="2AE84AB4" w14:textId="77777777" w:rsidR="00886A6B" w:rsidRPr="002E5414" w:rsidRDefault="00886A6B" w:rsidP="00886A6B">
      <w:pPr>
        <w:pStyle w:val="Heading3"/>
        <w:rPr>
          <w:rFonts w:eastAsiaTheme="minorHAnsi"/>
          <w:color w:val="000000" w:themeColor="text1"/>
        </w:rPr>
      </w:pPr>
      <w:r w:rsidRPr="002E5414">
        <w:rPr>
          <w:rFonts w:eastAsiaTheme="minorHAnsi"/>
          <w:color w:val="000000" w:themeColor="text1"/>
        </w:rPr>
        <w:t>2.1. Overview of Public Hospitals in the Mekong Delta Region</w:t>
      </w:r>
    </w:p>
    <w:p w14:paraId="2C869FBA" w14:textId="77777777" w:rsidR="00886A6B" w:rsidRPr="002E5414" w:rsidRDefault="00886A6B" w:rsidP="00886A6B">
      <w:pPr>
        <w:pStyle w:val="Heading3"/>
        <w:rPr>
          <w:rFonts w:eastAsiaTheme="minorHAnsi"/>
          <w:color w:val="000000" w:themeColor="text1"/>
        </w:rPr>
      </w:pPr>
      <w:r w:rsidRPr="002E5414">
        <w:rPr>
          <w:rFonts w:eastAsiaTheme="minorHAnsi"/>
          <w:color w:val="000000" w:themeColor="text1"/>
        </w:rPr>
        <w:t>2.1.1. Overview of Public Hospitals in the Mekong Delta Region</w:t>
      </w:r>
    </w:p>
    <w:p w14:paraId="43AA6F39"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According to consolidated reports from provincial Departments of Health in 2024, the Mekong Delta region currently comprises 210 public hospitals distributed across 13 provinces and municipalities. These include one central-level hospital located in Can Tho City, 37 provincial/municipal hospitals, 138 district-level hospitals, and 34 specialized hospitals, including pediatric, cardiovascular, traditional medicine, tuberculosis and pulmonary disease, oncology, psychiatric, obstetrics and pediatrics, rehabilitation, and dermatology hospitals.</w:t>
      </w:r>
    </w:p>
    <w:p w14:paraId="7C79B093"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lastRenderedPageBreak/>
        <w:t>Regarding the financial management framework, public hospitals in the region currently operate under the provisions of Government Decree No. 60/2021/ND-CP on the financial autonomy mechanism for public service units, as amended and supplemented by Decree No. 111/2025/ND-CP. Under this regulatory framework, public hospitals are classified into four categories based on their degree of financial autonomy. Group 1 includes units that are fully self-financing for both recurrent expenditures and capital investment. Group 2 includes units that are fully self-financing for recurrent expenditures only. Group 3 includes units that are partially self-financing for recurrent expenditures. Group 4 includes units whose recurrent expenditures are entirely funded by the state budget.</w:t>
      </w:r>
    </w:p>
    <w:p w14:paraId="6377F38F"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This financial autonomy mechanism has significant implications for the organization of accounting practices within public hospitals. For hospitals with a high degree of financial autonomy (Groups 1 and 2), accounting activities place greater emphasis on management accounting, requiring accurate costing of healthcare services, rigorous cost control, fixed asset depreciation management, and enhanced transparency in financial reporting. In contrast, hospitals that remain highly dependent on state budget support (Groups 3 and 4) focus primarily on government budget accounting, emphasizing budget preparation, budget execution monitoring, and budget settlement in accordance with regulatory requirements, while placing relatively less emphasis on financial performance analysis and managerial decision support.</w:t>
      </w:r>
    </w:p>
    <w:p w14:paraId="0BC78E0B"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Within the context of ongoing reforms in public sector financial management, public hospitals in the Mekong Delta region have been categorized according to their level of autonomy in financing recurrent expenditures and capital investments. Statistical evidence indicates that the majority of hospitals continue to rely substantially on state budget appropriations, whereas the number of hospitals capable of fully financing both recurrent and investment expenditures remains relatively limited.</w:t>
      </w:r>
    </w:p>
    <w:p w14:paraId="01A0EE5A"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Hospitals that are partially self-financing with respect to recurrent expenditures account for the largest proportion (40.5%) of the sample. This reflects the prevailing financing model in which hospitals generate service revenues while simultaneously receiving fiscal support from the state budget. In aggregate, 68.1% of public hospitals remain dependent on government funding, underscoring the continuing central role of the State in ensuring healthcare accessibility and social welfare provision.</w:t>
      </w:r>
    </w:p>
    <w:p w14:paraId="15E4A892"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lastRenderedPageBreak/>
        <w:t>By contrast, hospitals that are fully self-financing with respect to both recurrent and investment expenditures represent only 10.5% of the total and are concentrated primarily at the provincial level. Meanwhile, hospitals whose recurrent expenditures are fully financed by the state budget (27.6%) are predominantly district-level institutions. This distribution highlights substantial disparities in financial capacity across hospital tiers and reflects the varying degrees of fiscal autonomy within the public healthcare system.</w:t>
      </w:r>
    </w:p>
    <w:p w14:paraId="0023B386" w14:textId="77777777" w:rsidR="00886A6B" w:rsidRPr="002E5414" w:rsidRDefault="00886A6B" w:rsidP="00886A6B">
      <w:pPr>
        <w:spacing w:line="360" w:lineRule="auto"/>
        <w:rPr>
          <w:rFonts w:ascii="Times New Roman" w:hAnsi="Times New Roman" w:cs="Times New Roman"/>
          <w:b/>
          <w:color w:val="000000" w:themeColor="text1"/>
          <w:szCs w:val="26"/>
        </w:rPr>
      </w:pPr>
      <w:r w:rsidRPr="002E5414">
        <w:rPr>
          <w:rFonts w:ascii="Times New Roman" w:hAnsi="Times New Roman" w:cs="Times New Roman"/>
          <w:b/>
          <w:color w:val="000000" w:themeColor="text1"/>
          <w:szCs w:val="26"/>
        </w:rPr>
        <w:t>Table 2.1. Distribution of public hospitals in the Mekong Delta region</w:t>
      </w:r>
    </w:p>
    <w:p w14:paraId="74AAC96C" w14:textId="77777777" w:rsidR="00886A6B" w:rsidRPr="002E5414" w:rsidRDefault="00886A6B" w:rsidP="00886A6B">
      <w:pPr>
        <w:rPr>
          <w:rFonts w:ascii="Times New Roman" w:hAnsi="Times New Roman" w:cs="Times New Roman"/>
          <w:i/>
          <w:color w:val="000000" w:themeColor="text1"/>
          <w:szCs w:val="26"/>
        </w:rPr>
      </w:pPr>
      <w:r w:rsidRPr="002E5414">
        <w:rPr>
          <w:rFonts w:ascii="Times New Roman" w:hAnsi="Times New Roman" w:cs="Times New Roman"/>
          <w:i/>
          <w:color w:val="000000" w:themeColor="text1"/>
          <w:szCs w:val="26"/>
        </w:rPr>
        <w:t>Panel A. Classification by administrative level</w:t>
      </w:r>
    </w:p>
    <w:tbl>
      <w:tblPr>
        <w:tblW w:w="9067" w:type="dxa"/>
        <w:tblLook w:val="04A0" w:firstRow="1" w:lastRow="0" w:firstColumn="1" w:lastColumn="0" w:noHBand="0" w:noVBand="1"/>
      </w:tblPr>
      <w:tblGrid>
        <w:gridCol w:w="2769"/>
        <w:gridCol w:w="1294"/>
        <w:gridCol w:w="1487"/>
        <w:gridCol w:w="3517"/>
      </w:tblGrid>
      <w:tr w:rsidR="002E5414" w:rsidRPr="002E5414" w14:paraId="5D226DCD" w14:textId="77777777" w:rsidTr="00B8228E">
        <w:trPr>
          <w:trHeight w:val="299"/>
        </w:trPr>
        <w:tc>
          <w:tcPr>
            <w:tcW w:w="2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E1D19"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Hospital Level</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F2511"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Number of Hospitals</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DE6F9"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Percentage (%)</w:t>
            </w:r>
          </w:p>
        </w:tc>
        <w:tc>
          <w:tcPr>
            <w:tcW w:w="3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2CA94"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Operational Characteristics</w:t>
            </w:r>
          </w:p>
        </w:tc>
      </w:tr>
      <w:tr w:rsidR="002E5414" w:rsidRPr="002E5414" w14:paraId="547E3043" w14:textId="77777777" w:rsidTr="00B8228E">
        <w:trPr>
          <w:trHeight w:val="598"/>
        </w:trPr>
        <w:tc>
          <w:tcPr>
            <w:tcW w:w="27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B29BE"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Central-level Hospital</w:t>
            </w:r>
          </w:p>
        </w:tc>
        <w:tc>
          <w:tcPr>
            <w:tcW w:w="1294" w:type="dxa"/>
            <w:tcBorders>
              <w:top w:val="single" w:sz="4" w:space="0" w:color="auto"/>
              <w:left w:val="nil"/>
              <w:bottom w:val="single" w:sz="4" w:space="0" w:color="auto"/>
              <w:right w:val="single" w:sz="4" w:space="0" w:color="auto"/>
            </w:tcBorders>
            <w:shd w:val="clear" w:color="auto" w:fill="auto"/>
            <w:noWrap/>
            <w:vAlign w:val="center"/>
          </w:tcPr>
          <w:p w14:paraId="4EDD1073" w14:textId="4F9E7186" w:rsidR="00886A6B" w:rsidRPr="002E5414" w:rsidRDefault="00557BFD"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1</w:t>
            </w:r>
          </w:p>
        </w:tc>
        <w:tc>
          <w:tcPr>
            <w:tcW w:w="1487" w:type="dxa"/>
            <w:tcBorders>
              <w:top w:val="single" w:sz="4" w:space="0" w:color="auto"/>
              <w:left w:val="nil"/>
              <w:bottom w:val="single" w:sz="4" w:space="0" w:color="auto"/>
              <w:right w:val="single" w:sz="4" w:space="0" w:color="auto"/>
            </w:tcBorders>
            <w:shd w:val="clear" w:color="auto" w:fill="auto"/>
            <w:noWrap/>
            <w:vAlign w:val="center"/>
          </w:tcPr>
          <w:p w14:paraId="11CCEEFC"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0.5</w:t>
            </w:r>
          </w:p>
        </w:tc>
        <w:tc>
          <w:tcPr>
            <w:tcW w:w="3517" w:type="dxa"/>
            <w:tcBorders>
              <w:top w:val="single" w:sz="4" w:space="0" w:color="auto"/>
              <w:left w:val="nil"/>
              <w:bottom w:val="single" w:sz="4" w:space="0" w:color="auto"/>
              <w:right w:val="single" w:sz="4" w:space="0" w:color="auto"/>
            </w:tcBorders>
            <w:shd w:val="clear" w:color="auto" w:fill="auto"/>
            <w:vAlign w:val="center"/>
          </w:tcPr>
          <w:p w14:paraId="7DF8FFE7" w14:textId="77777777" w:rsidR="00886A6B" w:rsidRPr="002E5414" w:rsidRDefault="00886A6B" w:rsidP="00557BFD">
            <w:pPr>
              <w:spacing w:line="276" w:lineRule="auto"/>
              <w:jc w:val="both"/>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Located in Can Tho City and serves the entire Mekong Delta region</w:t>
            </w:r>
          </w:p>
        </w:tc>
      </w:tr>
      <w:tr w:rsidR="002E5414" w:rsidRPr="002E5414" w14:paraId="5B83E37E" w14:textId="77777777" w:rsidTr="00B8228E">
        <w:trPr>
          <w:trHeight w:val="598"/>
        </w:trPr>
        <w:tc>
          <w:tcPr>
            <w:tcW w:w="2769" w:type="dxa"/>
            <w:tcBorders>
              <w:top w:val="nil"/>
              <w:left w:val="single" w:sz="4" w:space="0" w:color="auto"/>
              <w:bottom w:val="single" w:sz="4" w:space="0" w:color="auto"/>
              <w:right w:val="single" w:sz="4" w:space="0" w:color="auto"/>
            </w:tcBorders>
            <w:shd w:val="clear" w:color="auto" w:fill="auto"/>
            <w:noWrap/>
            <w:vAlign w:val="center"/>
            <w:hideMark/>
          </w:tcPr>
          <w:p w14:paraId="080E512F"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Provincial/Municipal Hospitals</w:t>
            </w:r>
          </w:p>
        </w:tc>
        <w:tc>
          <w:tcPr>
            <w:tcW w:w="1294" w:type="dxa"/>
            <w:tcBorders>
              <w:top w:val="nil"/>
              <w:left w:val="nil"/>
              <w:bottom w:val="single" w:sz="4" w:space="0" w:color="auto"/>
              <w:right w:val="single" w:sz="4" w:space="0" w:color="auto"/>
            </w:tcBorders>
            <w:shd w:val="clear" w:color="auto" w:fill="auto"/>
            <w:noWrap/>
            <w:vAlign w:val="center"/>
            <w:hideMark/>
          </w:tcPr>
          <w:p w14:paraId="284D3F8F"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37</w:t>
            </w:r>
          </w:p>
        </w:tc>
        <w:tc>
          <w:tcPr>
            <w:tcW w:w="1487" w:type="dxa"/>
            <w:tcBorders>
              <w:top w:val="nil"/>
              <w:left w:val="nil"/>
              <w:bottom w:val="single" w:sz="4" w:space="0" w:color="auto"/>
              <w:right w:val="single" w:sz="4" w:space="0" w:color="auto"/>
            </w:tcBorders>
            <w:shd w:val="clear" w:color="auto" w:fill="auto"/>
            <w:noWrap/>
            <w:vAlign w:val="center"/>
            <w:hideMark/>
          </w:tcPr>
          <w:p w14:paraId="368C0F5E"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17.6</w:t>
            </w:r>
          </w:p>
        </w:tc>
        <w:tc>
          <w:tcPr>
            <w:tcW w:w="3517" w:type="dxa"/>
            <w:tcBorders>
              <w:top w:val="nil"/>
              <w:left w:val="nil"/>
              <w:bottom w:val="single" w:sz="4" w:space="0" w:color="auto"/>
              <w:right w:val="single" w:sz="4" w:space="0" w:color="auto"/>
            </w:tcBorders>
            <w:shd w:val="clear" w:color="auto" w:fill="auto"/>
            <w:vAlign w:val="center"/>
            <w:hideMark/>
          </w:tcPr>
          <w:p w14:paraId="36364864" w14:textId="77777777" w:rsidR="00886A6B" w:rsidRPr="002E5414" w:rsidRDefault="00886A6B" w:rsidP="00557BFD">
            <w:pPr>
              <w:spacing w:line="276" w:lineRule="auto"/>
              <w:jc w:val="both"/>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General provincial hospitals and provincial specialized hospitals</w:t>
            </w:r>
          </w:p>
        </w:tc>
      </w:tr>
      <w:tr w:rsidR="002E5414" w:rsidRPr="002E5414" w14:paraId="71813602" w14:textId="77777777" w:rsidTr="00B8228E">
        <w:trPr>
          <w:trHeight w:val="299"/>
        </w:trPr>
        <w:tc>
          <w:tcPr>
            <w:tcW w:w="2769" w:type="dxa"/>
            <w:tcBorders>
              <w:top w:val="nil"/>
              <w:left w:val="single" w:sz="4" w:space="0" w:color="auto"/>
              <w:bottom w:val="single" w:sz="4" w:space="0" w:color="auto"/>
              <w:right w:val="single" w:sz="4" w:space="0" w:color="auto"/>
            </w:tcBorders>
            <w:shd w:val="clear" w:color="auto" w:fill="auto"/>
            <w:noWrap/>
            <w:vAlign w:val="center"/>
            <w:hideMark/>
          </w:tcPr>
          <w:p w14:paraId="6DBB3755"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District-Level Hospitals</w:t>
            </w:r>
          </w:p>
        </w:tc>
        <w:tc>
          <w:tcPr>
            <w:tcW w:w="1294" w:type="dxa"/>
            <w:tcBorders>
              <w:top w:val="nil"/>
              <w:left w:val="nil"/>
              <w:bottom w:val="single" w:sz="4" w:space="0" w:color="auto"/>
              <w:right w:val="single" w:sz="4" w:space="0" w:color="auto"/>
            </w:tcBorders>
            <w:shd w:val="clear" w:color="auto" w:fill="auto"/>
            <w:noWrap/>
            <w:vAlign w:val="center"/>
            <w:hideMark/>
          </w:tcPr>
          <w:p w14:paraId="42469A8F"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138</w:t>
            </w:r>
          </w:p>
        </w:tc>
        <w:tc>
          <w:tcPr>
            <w:tcW w:w="1487" w:type="dxa"/>
            <w:tcBorders>
              <w:top w:val="nil"/>
              <w:left w:val="nil"/>
              <w:bottom w:val="single" w:sz="4" w:space="0" w:color="auto"/>
              <w:right w:val="single" w:sz="4" w:space="0" w:color="auto"/>
            </w:tcBorders>
            <w:shd w:val="clear" w:color="auto" w:fill="auto"/>
            <w:noWrap/>
            <w:vAlign w:val="center"/>
            <w:hideMark/>
          </w:tcPr>
          <w:p w14:paraId="29A44255"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65.7</w:t>
            </w:r>
          </w:p>
        </w:tc>
        <w:tc>
          <w:tcPr>
            <w:tcW w:w="3517" w:type="dxa"/>
            <w:tcBorders>
              <w:top w:val="nil"/>
              <w:left w:val="nil"/>
              <w:bottom w:val="single" w:sz="4" w:space="0" w:color="auto"/>
              <w:right w:val="single" w:sz="4" w:space="0" w:color="auto"/>
            </w:tcBorders>
            <w:shd w:val="clear" w:color="auto" w:fill="auto"/>
            <w:vAlign w:val="center"/>
            <w:hideMark/>
          </w:tcPr>
          <w:p w14:paraId="1D917D50" w14:textId="77777777" w:rsidR="00886A6B" w:rsidRPr="002E5414" w:rsidRDefault="00886A6B" w:rsidP="00557BFD">
            <w:pPr>
              <w:spacing w:line="276" w:lineRule="auto"/>
              <w:jc w:val="both"/>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Predominantly district general hospitals</w:t>
            </w:r>
          </w:p>
        </w:tc>
      </w:tr>
      <w:tr w:rsidR="002E5414" w:rsidRPr="002E5414" w14:paraId="24D1E29E" w14:textId="77777777" w:rsidTr="00B8228E">
        <w:trPr>
          <w:trHeight w:val="897"/>
        </w:trPr>
        <w:tc>
          <w:tcPr>
            <w:tcW w:w="2769" w:type="dxa"/>
            <w:tcBorders>
              <w:top w:val="nil"/>
              <w:left w:val="single" w:sz="4" w:space="0" w:color="auto"/>
              <w:bottom w:val="single" w:sz="4" w:space="0" w:color="auto"/>
              <w:right w:val="single" w:sz="4" w:space="0" w:color="auto"/>
            </w:tcBorders>
            <w:shd w:val="clear" w:color="auto" w:fill="auto"/>
            <w:noWrap/>
            <w:vAlign w:val="center"/>
            <w:hideMark/>
          </w:tcPr>
          <w:p w14:paraId="0501E3AA"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Regional Specialized Hospitals</w:t>
            </w:r>
          </w:p>
        </w:tc>
        <w:tc>
          <w:tcPr>
            <w:tcW w:w="1294" w:type="dxa"/>
            <w:tcBorders>
              <w:top w:val="nil"/>
              <w:left w:val="nil"/>
              <w:bottom w:val="single" w:sz="4" w:space="0" w:color="auto"/>
              <w:right w:val="single" w:sz="4" w:space="0" w:color="auto"/>
            </w:tcBorders>
            <w:shd w:val="clear" w:color="auto" w:fill="auto"/>
            <w:noWrap/>
            <w:vAlign w:val="center"/>
            <w:hideMark/>
          </w:tcPr>
          <w:p w14:paraId="3487AAD4"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34</w:t>
            </w:r>
          </w:p>
        </w:tc>
        <w:tc>
          <w:tcPr>
            <w:tcW w:w="1487" w:type="dxa"/>
            <w:tcBorders>
              <w:top w:val="nil"/>
              <w:left w:val="nil"/>
              <w:bottom w:val="single" w:sz="4" w:space="0" w:color="auto"/>
              <w:right w:val="single" w:sz="4" w:space="0" w:color="auto"/>
            </w:tcBorders>
            <w:shd w:val="clear" w:color="auto" w:fill="auto"/>
            <w:noWrap/>
            <w:vAlign w:val="center"/>
            <w:hideMark/>
          </w:tcPr>
          <w:p w14:paraId="53B15816"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16.2</w:t>
            </w:r>
          </w:p>
        </w:tc>
        <w:tc>
          <w:tcPr>
            <w:tcW w:w="3517" w:type="dxa"/>
            <w:tcBorders>
              <w:top w:val="nil"/>
              <w:left w:val="nil"/>
              <w:bottom w:val="single" w:sz="4" w:space="0" w:color="auto"/>
              <w:right w:val="single" w:sz="4" w:space="0" w:color="auto"/>
            </w:tcBorders>
            <w:shd w:val="clear" w:color="auto" w:fill="auto"/>
            <w:vAlign w:val="center"/>
            <w:hideMark/>
          </w:tcPr>
          <w:p w14:paraId="558D325C" w14:textId="77777777" w:rsidR="00886A6B" w:rsidRPr="002E5414" w:rsidRDefault="00886A6B" w:rsidP="00557BFD">
            <w:pPr>
              <w:spacing w:line="276" w:lineRule="auto"/>
              <w:jc w:val="both"/>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High-level specialized hospitals serving multiple provinces and providing advanced medical services</w:t>
            </w:r>
          </w:p>
        </w:tc>
      </w:tr>
      <w:tr w:rsidR="00886A6B" w:rsidRPr="002E5414" w14:paraId="26B6AC5F" w14:textId="77777777" w:rsidTr="00B8228E">
        <w:trPr>
          <w:trHeight w:val="299"/>
        </w:trPr>
        <w:tc>
          <w:tcPr>
            <w:tcW w:w="2769" w:type="dxa"/>
            <w:tcBorders>
              <w:top w:val="nil"/>
              <w:left w:val="single" w:sz="4" w:space="0" w:color="auto"/>
              <w:bottom w:val="single" w:sz="4" w:space="0" w:color="auto"/>
              <w:right w:val="single" w:sz="4" w:space="0" w:color="auto"/>
            </w:tcBorders>
            <w:shd w:val="clear" w:color="auto" w:fill="auto"/>
            <w:noWrap/>
            <w:vAlign w:val="center"/>
            <w:hideMark/>
          </w:tcPr>
          <w:p w14:paraId="22EF9028"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Total</w:t>
            </w:r>
          </w:p>
        </w:tc>
        <w:tc>
          <w:tcPr>
            <w:tcW w:w="1294" w:type="dxa"/>
            <w:tcBorders>
              <w:top w:val="nil"/>
              <w:left w:val="nil"/>
              <w:bottom w:val="single" w:sz="4" w:space="0" w:color="auto"/>
              <w:right w:val="single" w:sz="4" w:space="0" w:color="auto"/>
            </w:tcBorders>
            <w:shd w:val="clear" w:color="auto" w:fill="auto"/>
            <w:noWrap/>
            <w:vAlign w:val="center"/>
            <w:hideMark/>
          </w:tcPr>
          <w:p w14:paraId="5B7A1051"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210</w:t>
            </w:r>
          </w:p>
        </w:tc>
        <w:tc>
          <w:tcPr>
            <w:tcW w:w="1487" w:type="dxa"/>
            <w:tcBorders>
              <w:top w:val="nil"/>
              <w:left w:val="nil"/>
              <w:bottom w:val="single" w:sz="4" w:space="0" w:color="auto"/>
              <w:right w:val="single" w:sz="4" w:space="0" w:color="auto"/>
            </w:tcBorders>
            <w:shd w:val="clear" w:color="auto" w:fill="auto"/>
            <w:noWrap/>
            <w:vAlign w:val="center"/>
            <w:hideMark/>
          </w:tcPr>
          <w:p w14:paraId="74D0DFB2" w14:textId="28D6C59B"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100</w:t>
            </w:r>
            <w:r w:rsidR="00557BFD" w:rsidRPr="002E5414">
              <w:rPr>
                <w:rFonts w:ascii="Times New Roman" w:hAnsi="Times New Roman" w:cs="Times New Roman"/>
                <w:b/>
                <w:color w:val="000000" w:themeColor="text1"/>
                <w:sz w:val="24"/>
              </w:rPr>
              <w:t>.0</w:t>
            </w:r>
          </w:p>
        </w:tc>
        <w:tc>
          <w:tcPr>
            <w:tcW w:w="3517" w:type="dxa"/>
            <w:tcBorders>
              <w:top w:val="nil"/>
              <w:left w:val="nil"/>
              <w:bottom w:val="single" w:sz="4" w:space="0" w:color="auto"/>
              <w:right w:val="single" w:sz="4" w:space="0" w:color="auto"/>
            </w:tcBorders>
            <w:shd w:val="clear" w:color="auto" w:fill="auto"/>
            <w:vAlign w:val="center"/>
            <w:hideMark/>
          </w:tcPr>
          <w:p w14:paraId="0C229B90"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 </w:t>
            </w:r>
          </w:p>
        </w:tc>
      </w:tr>
    </w:tbl>
    <w:p w14:paraId="48FF6FCF" w14:textId="77777777" w:rsidR="00886A6B" w:rsidRPr="002E5414" w:rsidRDefault="00886A6B" w:rsidP="00886A6B">
      <w:pPr>
        <w:rPr>
          <w:color w:val="000000" w:themeColor="text1"/>
        </w:rPr>
      </w:pPr>
    </w:p>
    <w:p w14:paraId="0A7133FD" w14:textId="77777777" w:rsidR="00886A6B" w:rsidRPr="002E5414" w:rsidRDefault="00886A6B" w:rsidP="00886A6B">
      <w:pPr>
        <w:rPr>
          <w:rFonts w:ascii="Times New Roman" w:hAnsi="Times New Roman" w:cs="Times New Roman"/>
          <w:i/>
          <w:color w:val="000000" w:themeColor="text1"/>
          <w:szCs w:val="26"/>
        </w:rPr>
      </w:pPr>
      <w:r w:rsidRPr="002E5414">
        <w:rPr>
          <w:rFonts w:ascii="Times New Roman" w:hAnsi="Times New Roman" w:cs="Times New Roman"/>
          <w:i/>
          <w:color w:val="000000" w:themeColor="text1"/>
          <w:szCs w:val="26"/>
        </w:rPr>
        <w:t>Panel B. Classification by Province/City</w:t>
      </w:r>
    </w:p>
    <w:tbl>
      <w:tblPr>
        <w:tblW w:w="9781" w:type="dxa"/>
        <w:tblInd w:w="-5" w:type="dxa"/>
        <w:tblLook w:val="04A0" w:firstRow="1" w:lastRow="0" w:firstColumn="1" w:lastColumn="0" w:noHBand="0" w:noVBand="1"/>
      </w:tblPr>
      <w:tblGrid>
        <w:gridCol w:w="1629"/>
        <w:gridCol w:w="763"/>
        <w:gridCol w:w="1083"/>
        <w:gridCol w:w="1336"/>
        <w:gridCol w:w="1069"/>
        <w:gridCol w:w="1363"/>
        <w:gridCol w:w="2538"/>
      </w:tblGrid>
      <w:tr w:rsidR="002E5414" w:rsidRPr="002E5414" w14:paraId="6EB75918" w14:textId="77777777" w:rsidTr="002D20D4">
        <w:trPr>
          <w:trHeight w:val="189"/>
          <w:tblHeader/>
        </w:trPr>
        <w:tc>
          <w:tcPr>
            <w:tcW w:w="15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37F1"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Province/City</w:t>
            </w:r>
          </w:p>
          <w:p w14:paraId="5542F9E2"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(Post-Merger)</w:t>
            </w:r>
          </w:p>
        </w:tc>
        <w:tc>
          <w:tcPr>
            <w:tcW w:w="718" w:type="dxa"/>
            <w:tcBorders>
              <w:top w:val="single" w:sz="4" w:space="0" w:color="auto"/>
              <w:left w:val="nil"/>
              <w:bottom w:val="single" w:sz="4" w:space="0" w:color="auto"/>
              <w:right w:val="single" w:sz="4" w:space="0" w:color="auto"/>
            </w:tcBorders>
            <w:shd w:val="clear" w:color="auto" w:fill="auto"/>
            <w:noWrap/>
            <w:vAlign w:val="center"/>
            <w:hideMark/>
          </w:tcPr>
          <w:p w14:paraId="05792B12"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Total</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14:paraId="14760E75"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Central-Level</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14:paraId="10156BD5"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Provincial/</w:t>
            </w:r>
          </w:p>
          <w:p w14:paraId="20D68F3E"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Municipal</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14:paraId="6241EE3A"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District-Level</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165D0376"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Specialized Hospitals</w:t>
            </w:r>
          </w:p>
        </w:tc>
        <w:tc>
          <w:tcPr>
            <w:tcW w:w="3031" w:type="dxa"/>
            <w:tcBorders>
              <w:top w:val="single" w:sz="4" w:space="0" w:color="auto"/>
              <w:left w:val="nil"/>
              <w:bottom w:val="single" w:sz="4" w:space="0" w:color="auto"/>
              <w:right w:val="single" w:sz="4" w:space="0" w:color="auto"/>
            </w:tcBorders>
            <w:shd w:val="clear" w:color="auto" w:fill="auto"/>
            <w:vAlign w:val="center"/>
            <w:hideMark/>
          </w:tcPr>
          <w:p w14:paraId="095A77EC"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Remarks</w:t>
            </w:r>
          </w:p>
        </w:tc>
      </w:tr>
      <w:tr w:rsidR="002E5414" w:rsidRPr="002E5414" w14:paraId="14F927EC" w14:textId="77777777" w:rsidTr="0058141E">
        <w:trPr>
          <w:trHeight w:val="57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0AE1EF0C"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Can Tho</w:t>
            </w:r>
          </w:p>
        </w:tc>
        <w:tc>
          <w:tcPr>
            <w:tcW w:w="718" w:type="dxa"/>
            <w:tcBorders>
              <w:top w:val="nil"/>
              <w:left w:val="nil"/>
              <w:bottom w:val="single" w:sz="4" w:space="0" w:color="auto"/>
              <w:right w:val="single" w:sz="4" w:space="0" w:color="auto"/>
            </w:tcBorders>
            <w:shd w:val="clear" w:color="auto" w:fill="auto"/>
            <w:noWrap/>
            <w:vAlign w:val="center"/>
            <w:hideMark/>
          </w:tcPr>
          <w:p w14:paraId="189C669E"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45</w:t>
            </w:r>
          </w:p>
        </w:tc>
        <w:tc>
          <w:tcPr>
            <w:tcW w:w="1011" w:type="dxa"/>
            <w:tcBorders>
              <w:top w:val="nil"/>
              <w:left w:val="nil"/>
              <w:bottom w:val="single" w:sz="4" w:space="0" w:color="auto"/>
              <w:right w:val="single" w:sz="4" w:space="0" w:color="auto"/>
            </w:tcBorders>
            <w:shd w:val="clear" w:color="auto" w:fill="auto"/>
            <w:noWrap/>
            <w:vAlign w:val="center"/>
            <w:hideMark/>
          </w:tcPr>
          <w:p w14:paraId="43198B46" w14:textId="52679650"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1</w:t>
            </w:r>
          </w:p>
        </w:tc>
        <w:tc>
          <w:tcPr>
            <w:tcW w:w="1243" w:type="dxa"/>
            <w:tcBorders>
              <w:top w:val="nil"/>
              <w:left w:val="nil"/>
              <w:bottom w:val="single" w:sz="4" w:space="0" w:color="auto"/>
              <w:right w:val="single" w:sz="4" w:space="0" w:color="auto"/>
            </w:tcBorders>
            <w:shd w:val="clear" w:color="auto" w:fill="auto"/>
            <w:noWrap/>
            <w:vAlign w:val="center"/>
            <w:hideMark/>
          </w:tcPr>
          <w:p w14:paraId="4600C808" w14:textId="6AFE4E15"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7</w:t>
            </w:r>
          </w:p>
        </w:tc>
        <w:tc>
          <w:tcPr>
            <w:tcW w:w="998" w:type="dxa"/>
            <w:tcBorders>
              <w:top w:val="nil"/>
              <w:left w:val="nil"/>
              <w:bottom w:val="single" w:sz="4" w:space="0" w:color="auto"/>
              <w:right w:val="single" w:sz="4" w:space="0" w:color="auto"/>
            </w:tcBorders>
            <w:shd w:val="clear" w:color="auto" w:fill="auto"/>
            <w:noWrap/>
            <w:vAlign w:val="center"/>
            <w:hideMark/>
          </w:tcPr>
          <w:p w14:paraId="2706BF50"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30</w:t>
            </w:r>
          </w:p>
        </w:tc>
        <w:tc>
          <w:tcPr>
            <w:tcW w:w="1268" w:type="dxa"/>
            <w:tcBorders>
              <w:top w:val="nil"/>
              <w:left w:val="nil"/>
              <w:bottom w:val="single" w:sz="4" w:space="0" w:color="auto"/>
              <w:right w:val="single" w:sz="4" w:space="0" w:color="auto"/>
            </w:tcBorders>
            <w:shd w:val="clear" w:color="auto" w:fill="auto"/>
            <w:noWrap/>
            <w:vAlign w:val="center"/>
            <w:hideMark/>
          </w:tcPr>
          <w:p w14:paraId="48E622D3" w14:textId="39065F5C"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7</w:t>
            </w:r>
          </w:p>
        </w:tc>
        <w:tc>
          <w:tcPr>
            <w:tcW w:w="3031" w:type="dxa"/>
            <w:tcBorders>
              <w:top w:val="nil"/>
              <w:left w:val="nil"/>
              <w:bottom w:val="single" w:sz="4" w:space="0" w:color="auto"/>
              <w:right w:val="single" w:sz="4" w:space="0" w:color="auto"/>
            </w:tcBorders>
            <w:shd w:val="clear" w:color="auto" w:fill="auto"/>
            <w:vAlign w:val="center"/>
            <w:hideMark/>
          </w:tcPr>
          <w:p w14:paraId="3FD2CC6C"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Central Hospital; Pediatrics, Cardiology, Traditional Medicine, Obstetrics and Pediatrics, Dermatology, Psychiatry</w:t>
            </w:r>
          </w:p>
        </w:tc>
      </w:tr>
      <w:tr w:rsidR="002E5414" w:rsidRPr="002E5414" w14:paraId="246839B1" w14:textId="77777777" w:rsidTr="0058141E">
        <w:trPr>
          <w:trHeight w:val="57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357D56A9"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Kien Giang</w:t>
            </w:r>
          </w:p>
        </w:tc>
        <w:tc>
          <w:tcPr>
            <w:tcW w:w="718" w:type="dxa"/>
            <w:tcBorders>
              <w:top w:val="nil"/>
              <w:left w:val="nil"/>
              <w:bottom w:val="single" w:sz="4" w:space="0" w:color="auto"/>
              <w:right w:val="single" w:sz="4" w:space="0" w:color="auto"/>
            </w:tcBorders>
            <w:shd w:val="clear" w:color="auto" w:fill="auto"/>
            <w:noWrap/>
            <w:vAlign w:val="center"/>
            <w:hideMark/>
          </w:tcPr>
          <w:p w14:paraId="247267A4"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38</w:t>
            </w:r>
          </w:p>
        </w:tc>
        <w:tc>
          <w:tcPr>
            <w:tcW w:w="1011" w:type="dxa"/>
            <w:tcBorders>
              <w:top w:val="nil"/>
              <w:left w:val="nil"/>
              <w:bottom w:val="single" w:sz="4" w:space="0" w:color="auto"/>
              <w:right w:val="single" w:sz="4" w:space="0" w:color="auto"/>
            </w:tcBorders>
            <w:shd w:val="clear" w:color="auto" w:fill="auto"/>
            <w:noWrap/>
            <w:vAlign w:val="center"/>
            <w:hideMark/>
          </w:tcPr>
          <w:p w14:paraId="53FEB4AD" w14:textId="199A6B9A"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557BFD" w:rsidRPr="002E5414">
              <w:rPr>
                <w:rFonts w:ascii="Times New Roman" w:hAnsi="Times New Roman" w:cs="Times New Roman"/>
                <w:color w:val="000000" w:themeColor="text1"/>
                <w:sz w:val="24"/>
              </w:rPr>
              <w:t>0</w:t>
            </w:r>
          </w:p>
        </w:tc>
        <w:tc>
          <w:tcPr>
            <w:tcW w:w="1243" w:type="dxa"/>
            <w:tcBorders>
              <w:top w:val="nil"/>
              <w:left w:val="nil"/>
              <w:bottom w:val="single" w:sz="4" w:space="0" w:color="auto"/>
              <w:right w:val="single" w:sz="4" w:space="0" w:color="auto"/>
            </w:tcBorders>
            <w:shd w:val="clear" w:color="auto" w:fill="auto"/>
            <w:noWrap/>
            <w:vAlign w:val="center"/>
            <w:hideMark/>
          </w:tcPr>
          <w:p w14:paraId="6D66303B" w14:textId="41C0B988"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9</w:t>
            </w:r>
          </w:p>
        </w:tc>
        <w:tc>
          <w:tcPr>
            <w:tcW w:w="998" w:type="dxa"/>
            <w:tcBorders>
              <w:top w:val="nil"/>
              <w:left w:val="nil"/>
              <w:bottom w:val="single" w:sz="4" w:space="0" w:color="auto"/>
              <w:right w:val="single" w:sz="4" w:space="0" w:color="auto"/>
            </w:tcBorders>
            <w:shd w:val="clear" w:color="auto" w:fill="auto"/>
            <w:noWrap/>
            <w:vAlign w:val="center"/>
            <w:hideMark/>
          </w:tcPr>
          <w:p w14:paraId="04552A0B"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23</w:t>
            </w:r>
          </w:p>
        </w:tc>
        <w:tc>
          <w:tcPr>
            <w:tcW w:w="1268" w:type="dxa"/>
            <w:tcBorders>
              <w:top w:val="nil"/>
              <w:left w:val="nil"/>
              <w:bottom w:val="single" w:sz="4" w:space="0" w:color="auto"/>
              <w:right w:val="single" w:sz="4" w:space="0" w:color="auto"/>
            </w:tcBorders>
            <w:shd w:val="clear" w:color="auto" w:fill="auto"/>
            <w:noWrap/>
            <w:vAlign w:val="center"/>
            <w:hideMark/>
          </w:tcPr>
          <w:p w14:paraId="523A9CF8" w14:textId="44851D45"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6</w:t>
            </w:r>
          </w:p>
        </w:tc>
        <w:tc>
          <w:tcPr>
            <w:tcW w:w="3031" w:type="dxa"/>
            <w:tcBorders>
              <w:top w:val="nil"/>
              <w:left w:val="nil"/>
              <w:bottom w:val="single" w:sz="4" w:space="0" w:color="auto"/>
              <w:right w:val="single" w:sz="4" w:space="0" w:color="auto"/>
            </w:tcBorders>
            <w:shd w:val="clear" w:color="auto" w:fill="auto"/>
            <w:vAlign w:val="center"/>
            <w:hideMark/>
          </w:tcPr>
          <w:p w14:paraId="2DA4C00B"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Cardiology, Tuberculosis and Pulmonary Diseases, Oncology, Traditional Medicine, Psychiatry, Obstetrics and Pediatrics</w:t>
            </w:r>
          </w:p>
        </w:tc>
      </w:tr>
      <w:tr w:rsidR="002E5414" w:rsidRPr="002E5414" w14:paraId="171BDE97" w14:textId="77777777" w:rsidTr="0058141E">
        <w:trPr>
          <w:trHeight w:val="57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4D7A1105"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lastRenderedPageBreak/>
              <w:t>Vinh Long</w:t>
            </w:r>
          </w:p>
        </w:tc>
        <w:tc>
          <w:tcPr>
            <w:tcW w:w="718" w:type="dxa"/>
            <w:tcBorders>
              <w:top w:val="nil"/>
              <w:left w:val="nil"/>
              <w:bottom w:val="single" w:sz="4" w:space="0" w:color="auto"/>
              <w:right w:val="single" w:sz="4" w:space="0" w:color="auto"/>
            </w:tcBorders>
            <w:shd w:val="clear" w:color="auto" w:fill="auto"/>
            <w:noWrap/>
            <w:vAlign w:val="center"/>
            <w:hideMark/>
          </w:tcPr>
          <w:p w14:paraId="5EEBBEDC"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47</w:t>
            </w:r>
          </w:p>
        </w:tc>
        <w:tc>
          <w:tcPr>
            <w:tcW w:w="1011" w:type="dxa"/>
            <w:tcBorders>
              <w:top w:val="nil"/>
              <w:left w:val="nil"/>
              <w:bottom w:val="single" w:sz="4" w:space="0" w:color="auto"/>
              <w:right w:val="single" w:sz="4" w:space="0" w:color="auto"/>
            </w:tcBorders>
            <w:shd w:val="clear" w:color="auto" w:fill="auto"/>
            <w:noWrap/>
            <w:vAlign w:val="center"/>
            <w:hideMark/>
          </w:tcPr>
          <w:p w14:paraId="1505FA28" w14:textId="541EBA93"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557BFD" w:rsidRPr="002E5414">
              <w:rPr>
                <w:rFonts w:ascii="Times New Roman" w:hAnsi="Times New Roman" w:cs="Times New Roman"/>
                <w:color w:val="000000" w:themeColor="text1"/>
                <w:sz w:val="24"/>
              </w:rPr>
              <w:t>0</w:t>
            </w:r>
          </w:p>
        </w:tc>
        <w:tc>
          <w:tcPr>
            <w:tcW w:w="1243" w:type="dxa"/>
            <w:tcBorders>
              <w:top w:val="nil"/>
              <w:left w:val="nil"/>
              <w:bottom w:val="single" w:sz="4" w:space="0" w:color="auto"/>
              <w:right w:val="single" w:sz="4" w:space="0" w:color="auto"/>
            </w:tcBorders>
            <w:shd w:val="clear" w:color="auto" w:fill="auto"/>
            <w:noWrap/>
            <w:vAlign w:val="center"/>
            <w:hideMark/>
          </w:tcPr>
          <w:p w14:paraId="215A8A27" w14:textId="39E88C1E"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8</w:t>
            </w:r>
          </w:p>
        </w:tc>
        <w:tc>
          <w:tcPr>
            <w:tcW w:w="998" w:type="dxa"/>
            <w:tcBorders>
              <w:top w:val="nil"/>
              <w:left w:val="nil"/>
              <w:bottom w:val="single" w:sz="4" w:space="0" w:color="auto"/>
              <w:right w:val="single" w:sz="4" w:space="0" w:color="auto"/>
            </w:tcBorders>
            <w:shd w:val="clear" w:color="auto" w:fill="auto"/>
            <w:noWrap/>
            <w:vAlign w:val="center"/>
            <w:hideMark/>
          </w:tcPr>
          <w:p w14:paraId="2972C7CC"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30</w:t>
            </w:r>
          </w:p>
        </w:tc>
        <w:tc>
          <w:tcPr>
            <w:tcW w:w="1268" w:type="dxa"/>
            <w:tcBorders>
              <w:top w:val="nil"/>
              <w:left w:val="nil"/>
              <w:bottom w:val="single" w:sz="4" w:space="0" w:color="auto"/>
              <w:right w:val="single" w:sz="4" w:space="0" w:color="auto"/>
            </w:tcBorders>
            <w:shd w:val="clear" w:color="auto" w:fill="auto"/>
            <w:noWrap/>
            <w:vAlign w:val="center"/>
            <w:hideMark/>
          </w:tcPr>
          <w:p w14:paraId="3367977B" w14:textId="29543843"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9</w:t>
            </w:r>
          </w:p>
        </w:tc>
        <w:tc>
          <w:tcPr>
            <w:tcW w:w="3031" w:type="dxa"/>
            <w:tcBorders>
              <w:top w:val="nil"/>
              <w:left w:val="nil"/>
              <w:bottom w:val="single" w:sz="4" w:space="0" w:color="auto"/>
              <w:right w:val="single" w:sz="4" w:space="0" w:color="auto"/>
            </w:tcBorders>
            <w:shd w:val="clear" w:color="auto" w:fill="auto"/>
            <w:vAlign w:val="center"/>
            <w:hideMark/>
          </w:tcPr>
          <w:p w14:paraId="282B1045"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Ophthalmology, Traditional Medicine, Pulmonology, Obstetrics and Gynecology, Dermatology, Psychiatry</w:t>
            </w:r>
          </w:p>
        </w:tc>
      </w:tr>
      <w:tr w:rsidR="002E5414" w:rsidRPr="002E5414" w14:paraId="69DFF6EC" w14:textId="77777777" w:rsidTr="0058141E">
        <w:trPr>
          <w:trHeight w:val="379"/>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23371130"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Dong Thap</w:t>
            </w:r>
          </w:p>
        </w:tc>
        <w:tc>
          <w:tcPr>
            <w:tcW w:w="718" w:type="dxa"/>
            <w:tcBorders>
              <w:top w:val="nil"/>
              <w:left w:val="nil"/>
              <w:bottom w:val="single" w:sz="4" w:space="0" w:color="auto"/>
              <w:right w:val="single" w:sz="4" w:space="0" w:color="auto"/>
            </w:tcBorders>
            <w:shd w:val="clear" w:color="auto" w:fill="auto"/>
            <w:noWrap/>
            <w:vAlign w:val="center"/>
            <w:hideMark/>
          </w:tcPr>
          <w:p w14:paraId="129B191C"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37</w:t>
            </w:r>
          </w:p>
        </w:tc>
        <w:tc>
          <w:tcPr>
            <w:tcW w:w="1011" w:type="dxa"/>
            <w:tcBorders>
              <w:top w:val="nil"/>
              <w:left w:val="nil"/>
              <w:bottom w:val="single" w:sz="4" w:space="0" w:color="auto"/>
              <w:right w:val="single" w:sz="4" w:space="0" w:color="auto"/>
            </w:tcBorders>
            <w:shd w:val="clear" w:color="auto" w:fill="auto"/>
            <w:noWrap/>
            <w:vAlign w:val="center"/>
            <w:hideMark/>
          </w:tcPr>
          <w:p w14:paraId="631F0343" w14:textId="5CCFA4D2"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557BFD" w:rsidRPr="002E5414">
              <w:rPr>
                <w:rFonts w:ascii="Times New Roman" w:hAnsi="Times New Roman" w:cs="Times New Roman"/>
                <w:color w:val="000000" w:themeColor="text1"/>
                <w:sz w:val="24"/>
              </w:rPr>
              <w:t>0</w:t>
            </w:r>
          </w:p>
        </w:tc>
        <w:tc>
          <w:tcPr>
            <w:tcW w:w="1243" w:type="dxa"/>
            <w:tcBorders>
              <w:top w:val="nil"/>
              <w:left w:val="nil"/>
              <w:bottom w:val="single" w:sz="4" w:space="0" w:color="auto"/>
              <w:right w:val="single" w:sz="4" w:space="0" w:color="auto"/>
            </w:tcBorders>
            <w:shd w:val="clear" w:color="auto" w:fill="auto"/>
            <w:noWrap/>
            <w:vAlign w:val="center"/>
            <w:hideMark/>
          </w:tcPr>
          <w:p w14:paraId="37CD151B" w14:textId="3CD1EF21"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8</w:t>
            </w:r>
          </w:p>
        </w:tc>
        <w:tc>
          <w:tcPr>
            <w:tcW w:w="998" w:type="dxa"/>
            <w:tcBorders>
              <w:top w:val="nil"/>
              <w:left w:val="nil"/>
              <w:bottom w:val="single" w:sz="4" w:space="0" w:color="auto"/>
              <w:right w:val="single" w:sz="4" w:space="0" w:color="auto"/>
            </w:tcBorders>
            <w:shd w:val="clear" w:color="auto" w:fill="auto"/>
            <w:noWrap/>
            <w:vAlign w:val="center"/>
            <w:hideMark/>
          </w:tcPr>
          <w:p w14:paraId="51AF78A3"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24</w:t>
            </w:r>
          </w:p>
        </w:tc>
        <w:tc>
          <w:tcPr>
            <w:tcW w:w="1268" w:type="dxa"/>
            <w:tcBorders>
              <w:top w:val="nil"/>
              <w:left w:val="nil"/>
              <w:bottom w:val="single" w:sz="4" w:space="0" w:color="auto"/>
              <w:right w:val="single" w:sz="4" w:space="0" w:color="auto"/>
            </w:tcBorders>
            <w:shd w:val="clear" w:color="auto" w:fill="auto"/>
            <w:noWrap/>
            <w:vAlign w:val="center"/>
            <w:hideMark/>
          </w:tcPr>
          <w:p w14:paraId="53B3D829" w14:textId="1EFF2242"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5</w:t>
            </w:r>
          </w:p>
        </w:tc>
        <w:tc>
          <w:tcPr>
            <w:tcW w:w="3031" w:type="dxa"/>
            <w:tcBorders>
              <w:top w:val="nil"/>
              <w:left w:val="nil"/>
              <w:bottom w:val="single" w:sz="4" w:space="0" w:color="auto"/>
              <w:right w:val="single" w:sz="4" w:space="0" w:color="auto"/>
            </w:tcBorders>
            <w:shd w:val="clear" w:color="auto" w:fill="auto"/>
            <w:vAlign w:val="center"/>
            <w:hideMark/>
          </w:tcPr>
          <w:p w14:paraId="357879A8"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Well-developed district hospital network; numerous obstetric and pulmonary hospitals</w:t>
            </w:r>
          </w:p>
        </w:tc>
      </w:tr>
      <w:tr w:rsidR="002E5414" w:rsidRPr="002E5414" w14:paraId="4A001503" w14:textId="77777777" w:rsidTr="0058141E">
        <w:trPr>
          <w:trHeight w:val="57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5010B438"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Ca Mau</w:t>
            </w:r>
          </w:p>
        </w:tc>
        <w:tc>
          <w:tcPr>
            <w:tcW w:w="718" w:type="dxa"/>
            <w:tcBorders>
              <w:top w:val="nil"/>
              <w:left w:val="nil"/>
              <w:bottom w:val="single" w:sz="4" w:space="0" w:color="auto"/>
              <w:right w:val="single" w:sz="4" w:space="0" w:color="auto"/>
            </w:tcBorders>
            <w:shd w:val="clear" w:color="auto" w:fill="auto"/>
            <w:noWrap/>
            <w:vAlign w:val="center"/>
            <w:hideMark/>
          </w:tcPr>
          <w:p w14:paraId="2BDEA52E"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25</w:t>
            </w:r>
          </w:p>
        </w:tc>
        <w:tc>
          <w:tcPr>
            <w:tcW w:w="1011" w:type="dxa"/>
            <w:tcBorders>
              <w:top w:val="nil"/>
              <w:left w:val="nil"/>
              <w:bottom w:val="single" w:sz="4" w:space="0" w:color="auto"/>
              <w:right w:val="single" w:sz="4" w:space="0" w:color="auto"/>
            </w:tcBorders>
            <w:shd w:val="clear" w:color="auto" w:fill="auto"/>
            <w:noWrap/>
            <w:vAlign w:val="center"/>
            <w:hideMark/>
          </w:tcPr>
          <w:p w14:paraId="1773B193" w14:textId="24F2F258"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557BFD" w:rsidRPr="002E5414">
              <w:rPr>
                <w:rFonts w:ascii="Times New Roman" w:hAnsi="Times New Roman" w:cs="Times New Roman"/>
                <w:color w:val="000000" w:themeColor="text1"/>
                <w:sz w:val="24"/>
              </w:rPr>
              <w:t>0</w:t>
            </w:r>
          </w:p>
        </w:tc>
        <w:tc>
          <w:tcPr>
            <w:tcW w:w="1243" w:type="dxa"/>
            <w:tcBorders>
              <w:top w:val="nil"/>
              <w:left w:val="nil"/>
              <w:bottom w:val="single" w:sz="4" w:space="0" w:color="auto"/>
              <w:right w:val="single" w:sz="4" w:space="0" w:color="auto"/>
            </w:tcBorders>
            <w:shd w:val="clear" w:color="auto" w:fill="auto"/>
            <w:noWrap/>
            <w:vAlign w:val="center"/>
            <w:hideMark/>
          </w:tcPr>
          <w:p w14:paraId="4C702267" w14:textId="1747DC95"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2</w:t>
            </w:r>
          </w:p>
        </w:tc>
        <w:tc>
          <w:tcPr>
            <w:tcW w:w="998" w:type="dxa"/>
            <w:tcBorders>
              <w:top w:val="nil"/>
              <w:left w:val="nil"/>
              <w:bottom w:val="single" w:sz="4" w:space="0" w:color="auto"/>
              <w:right w:val="single" w:sz="4" w:space="0" w:color="auto"/>
            </w:tcBorders>
            <w:shd w:val="clear" w:color="auto" w:fill="auto"/>
            <w:noWrap/>
            <w:vAlign w:val="center"/>
            <w:hideMark/>
          </w:tcPr>
          <w:p w14:paraId="04E4A6A2"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19</w:t>
            </w:r>
          </w:p>
        </w:tc>
        <w:tc>
          <w:tcPr>
            <w:tcW w:w="1268" w:type="dxa"/>
            <w:tcBorders>
              <w:top w:val="nil"/>
              <w:left w:val="nil"/>
              <w:bottom w:val="single" w:sz="4" w:space="0" w:color="auto"/>
              <w:right w:val="single" w:sz="4" w:space="0" w:color="auto"/>
            </w:tcBorders>
            <w:shd w:val="clear" w:color="auto" w:fill="auto"/>
            <w:noWrap/>
            <w:vAlign w:val="center"/>
            <w:hideMark/>
          </w:tcPr>
          <w:p w14:paraId="52D946D4" w14:textId="3AE605F6"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4</w:t>
            </w:r>
          </w:p>
        </w:tc>
        <w:tc>
          <w:tcPr>
            <w:tcW w:w="3031" w:type="dxa"/>
            <w:tcBorders>
              <w:top w:val="nil"/>
              <w:left w:val="nil"/>
              <w:bottom w:val="single" w:sz="4" w:space="0" w:color="auto"/>
              <w:right w:val="single" w:sz="4" w:space="0" w:color="auto"/>
            </w:tcBorders>
            <w:shd w:val="clear" w:color="auto" w:fill="auto"/>
            <w:vAlign w:val="center"/>
            <w:hideMark/>
          </w:tcPr>
          <w:p w14:paraId="747F12C5"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Numerous district hospitals and specialized rehabilitation, obstetrics and pediatrics, and traditional medicine hospitals</w:t>
            </w:r>
          </w:p>
        </w:tc>
      </w:tr>
      <w:tr w:rsidR="002E5414" w:rsidRPr="002E5414" w14:paraId="48F7F0F0" w14:textId="77777777" w:rsidTr="0058141E">
        <w:trPr>
          <w:trHeight w:val="189"/>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00330144"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Tay Ninh</w:t>
            </w:r>
          </w:p>
        </w:tc>
        <w:tc>
          <w:tcPr>
            <w:tcW w:w="718" w:type="dxa"/>
            <w:tcBorders>
              <w:top w:val="nil"/>
              <w:left w:val="nil"/>
              <w:bottom w:val="single" w:sz="4" w:space="0" w:color="auto"/>
              <w:right w:val="single" w:sz="4" w:space="0" w:color="auto"/>
            </w:tcBorders>
            <w:shd w:val="clear" w:color="auto" w:fill="auto"/>
            <w:noWrap/>
            <w:vAlign w:val="center"/>
            <w:hideMark/>
          </w:tcPr>
          <w:p w14:paraId="3FC433C4"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18</w:t>
            </w:r>
          </w:p>
        </w:tc>
        <w:tc>
          <w:tcPr>
            <w:tcW w:w="1011" w:type="dxa"/>
            <w:tcBorders>
              <w:top w:val="nil"/>
              <w:left w:val="nil"/>
              <w:bottom w:val="single" w:sz="4" w:space="0" w:color="auto"/>
              <w:right w:val="single" w:sz="4" w:space="0" w:color="auto"/>
            </w:tcBorders>
            <w:shd w:val="clear" w:color="auto" w:fill="auto"/>
            <w:noWrap/>
            <w:vAlign w:val="center"/>
            <w:hideMark/>
          </w:tcPr>
          <w:p w14:paraId="6502CA88" w14:textId="57C5D74E"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0</w:t>
            </w:r>
          </w:p>
        </w:tc>
        <w:tc>
          <w:tcPr>
            <w:tcW w:w="1243" w:type="dxa"/>
            <w:tcBorders>
              <w:top w:val="nil"/>
              <w:left w:val="nil"/>
              <w:bottom w:val="single" w:sz="4" w:space="0" w:color="auto"/>
              <w:right w:val="single" w:sz="4" w:space="0" w:color="auto"/>
            </w:tcBorders>
            <w:shd w:val="clear" w:color="auto" w:fill="auto"/>
            <w:noWrap/>
            <w:vAlign w:val="center"/>
            <w:hideMark/>
          </w:tcPr>
          <w:p w14:paraId="3720B3F3" w14:textId="2A4297CA"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3</w:t>
            </w:r>
          </w:p>
        </w:tc>
        <w:tc>
          <w:tcPr>
            <w:tcW w:w="998" w:type="dxa"/>
            <w:tcBorders>
              <w:top w:val="nil"/>
              <w:left w:val="nil"/>
              <w:bottom w:val="single" w:sz="4" w:space="0" w:color="auto"/>
              <w:right w:val="single" w:sz="4" w:space="0" w:color="auto"/>
            </w:tcBorders>
            <w:shd w:val="clear" w:color="auto" w:fill="auto"/>
            <w:noWrap/>
            <w:vAlign w:val="center"/>
            <w:hideMark/>
          </w:tcPr>
          <w:p w14:paraId="7CA4445F" w14:textId="77777777" w:rsidR="00886A6B" w:rsidRPr="002E5414" w:rsidRDefault="00886A6B"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12</w:t>
            </w:r>
          </w:p>
        </w:tc>
        <w:tc>
          <w:tcPr>
            <w:tcW w:w="1268" w:type="dxa"/>
            <w:tcBorders>
              <w:top w:val="nil"/>
              <w:left w:val="nil"/>
              <w:bottom w:val="single" w:sz="4" w:space="0" w:color="auto"/>
              <w:right w:val="single" w:sz="4" w:space="0" w:color="auto"/>
            </w:tcBorders>
            <w:shd w:val="clear" w:color="auto" w:fill="auto"/>
            <w:noWrap/>
            <w:vAlign w:val="center"/>
            <w:hideMark/>
          </w:tcPr>
          <w:p w14:paraId="44DFDB36" w14:textId="257F934C" w:rsidR="00886A6B" w:rsidRPr="002E5414" w:rsidRDefault="00557BFD" w:rsidP="0028291C">
            <w:pPr>
              <w:spacing w:line="300" w:lineRule="exact"/>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0</w:t>
            </w:r>
            <w:r w:rsidR="00886A6B" w:rsidRPr="002E5414">
              <w:rPr>
                <w:rFonts w:ascii="Times New Roman" w:hAnsi="Times New Roman" w:cs="Times New Roman"/>
                <w:color w:val="000000" w:themeColor="text1"/>
                <w:sz w:val="24"/>
              </w:rPr>
              <w:t>3</w:t>
            </w:r>
          </w:p>
        </w:tc>
        <w:tc>
          <w:tcPr>
            <w:tcW w:w="3031" w:type="dxa"/>
            <w:tcBorders>
              <w:top w:val="nil"/>
              <w:left w:val="nil"/>
              <w:bottom w:val="single" w:sz="4" w:space="0" w:color="auto"/>
              <w:right w:val="single" w:sz="4" w:space="0" w:color="auto"/>
            </w:tcBorders>
            <w:shd w:val="clear" w:color="auto" w:fill="auto"/>
            <w:vAlign w:val="center"/>
            <w:hideMark/>
          </w:tcPr>
          <w:p w14:paraId="5AE97344"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Traditional Medicine, Pulmonology, Psychiatry</w:t>
            </w:r>
          </w:p>
        </w:tc>
      </w:tr>
      <w:tr w:rsidR="002E5414" w:rsidRPr="002E5414" w14:paraId="7FAA9289" w14:textId="77777777" w:rsidTr="0058141E">
        <w:trPr>
          <w:trHeight w:val="189"/>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6AE2FCFA"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Total</w:t>
            </w:r>
          </w:p>
        </w:tc>
        <w:tc>
          <w:tcPr>
            <w:tcW w:w="718" w:type="dxa"/>
            <w:tcBorders>
              <w:top w:val="nil"/>
              <w:left w:val="nil"/>
              <w:bottom w:val="single" w:sz="4" w:space="0" w:color="auto"/>
              <w:right w:val="single" w:sz="4" w:space="0" w:color="auto"/>
            </w:tcBorders>
            <w:shd w:val="clear" w:color="auto" w:fill="auto"/>
            <w:noWrap/>
            <w:vAlign w:val="center"/>
            <w:hideMark/>
          </w:tcPr>
          <w:p w14:paraId="21100233"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210</w:t>
            </w:r>
          </w:p>
        </w:tc>
        <w:tc>
          <w:tcPr>
            <w:tcW w:w="1011" w:type="dxa"/>
            <w:tcBorders>
              <w:top w:val="nil"/>
              <w:left w:val="nil"/>
              <w:bottom w:val="single" w:sz="4" w:space="0" w:color="auto"/>
              <w:right w:val="single" w:sz="4" w:space="0" w:color="auto"/>
            </w:tcBorders>
            <w:shd w:val="clear" w:color="auto" w:fill="auto"/>
            <w:noWrap/>
            <w:vAlign w:val="center"/>
            <w:hideMark/>
          </w:tcPr>
          <w:p w14:paraId="7E313045" w14:textId="5BE1AAA5" w:rsidR="00886A6B" w:rsidRPr="002E5414" w:rsidRDefault="00557BFD"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0</w:t>
            </w:r>
            <w:r w:rsidR="00886A6B" w:rsidRPr="002E5414">
              <w:rPr>
                <w:rFonts w:ascii="Times New Roman" w:hAnsi="Times New Roman" w:cs="Times New Roman"/>
                <w:b/>
                <w:color w:val="000000" w:themeColor="text1"/>
                <w:sz w:val="24"/>
              </w:rPr>
              <w:t>1</w:t>
            </w:r>
          </w:p>
        </w:tc>
        <w:tc>
          <w:tcPr>
            <w:tcW w:w="1243" w:type="dxa"/>
            <w:tcBorders>
              <w:top w:val="nil"/>
              <w:left w:val="nil"/>
              <w:bottom w:val="single" w:sz="4" w:space="0" w:color="auto"/>
              <w:right w:val="single" w:sz="4" w:space="0" w:color="auto"/>
            </w:tcBorders>
            <w:shd w:val="clear" w:color="auto" w:fill="auto"/>
            <w:noWrap/>
            <w:vAlign w:val="center"/>
            <w:hideMark/>
          </w:tcPr>
          <w:p w14:paraId="4015CDCA"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37</w:t>
            </w:r>
          </w:p>
        </w:tc>
        <w:tc>
          <w:tcPr>
            <w:tcW w:w="998" w:type="dxa"/>
            <w:tcBorders>
              <w:top w:val="nil"/>
              <w:left w:val="nil"/>
              <w:bottom w:val="single" w:sz="4" w:space="0" w:color="auto"/>
              <w:right w:val="single" w:sz="4" w:space="0" w:color="auto"/>
            </w:tcBorders>
            <w:shd w:val="clear" w:color="auto" w:fill="auto"/>
            <w:noWrap/>
            <w:vAlign w:val="center"/>
            <w:hideMark/>
          </w:tcPr>
          <w:p w14:paraId="1F8488A4"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138</w:t>
            </w:r>
          </w:p>
        </w:tc>
        <w:tc>
          <w:tcPr>
            <w:tcW w:w="1268" w:type="dxa"/>
            <w:tcBorders>
              <w:top w:val="nil"/>
              <w:left w:val="nil"/>
              <w:bottom w:val="single" w:sz="4" w:space="0" w:color="auto"/>
              <w:right w:val="single" w:sz="4" w:space="0" w:color="auto"/>
            </w:tcBorders>
            <w:shd w:val="clear" w:color="auto" w:fill="auto"/>
            <w:noWrap/>
            <w:vAlign w:val="center"/>
            <w:hideMark/>
          </w:tcPr>
          <w:p w14:paraId="3A7AAF48" w14:textId="77777777" w:rsidR="00886A6B" w:rsidRPr="002E5414" w:rsidRDefault="00886A6B" w:rsidP="0028291C">
            <w:pPr>
              <w:spacing w:line="300" w:lineRule="exact"/>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34</w:t>
            </w:r>
          </w:p>
        </w:tc>
        <w:tc>
          <w:tcPr>
            <w:tcW w:w="3031" w:type="dxa"/>
            <w:tcBorders>
              <w:top w:val="nil"/>
              <w:left w:val="nil"/>
              <w:bottom w:val="single" w:sz="4" w:space="0" w:color="auto"/>
              <w:right w:val="single" w:sz="4" w:space="0" w:color="auto"/>
            </w:tcBorders>
            <w:shd w:val="clear" w:color="auto" w:fill="auto"/>
            <w:vAlign w:val="center"/>
            <w:hideMark/>
          </w:tcPr>
          <w:p w14:paraId="0FA31D60" w14:textId="77777777" w:rsidR="00886A6B" w:rsidRPr="002E5414" w:rsidRDefault="00886A6B" w:rsidP="0028291C">
            <w:pPr>
              <w:spacing w:line="300" w:lineRule="exact"/>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 </w:t>
            </w:r>
          </w:p>
        </w:tc>
      </w:tr>
    </w:tbl>
    <w:p w14:paraId="4DC4877B" w14:textId="77777777" w:rsidR="00886A6B" w:rsidRPr="002E5414" w:rsidRDefault="00886A6B" w:rsidP="00886A6B">
      <w:pPr>
        <w:jc w:val="right"/>
        <w:rPr>
          <w:rFonts w:ascii="Times New Roman" w:hAnsi="Times New Roman" w:cs="Times New Roman"/>
          <w:i/>
          <w:iCs/>
          <w:color w:val="000000" w:themeColor="text1"/>
        </w:rPr>
      </w:pPr>
      <w:r w:rsidRPr="002E5414">
        <w:rPr>
          <w:rFonts w:ascii="Times New Roman" w:hAnsi="Times New Roman" w:cs="Times New Roman"/>
          <w:b/>
          <w:bCs/>
          <w:i/>
          <w:iCs/>
          <w:color w:val="000000" w:themeColor="text1"/>
        </w:rPr>
        <w:t>Source:</w:t>
      </w:r>
      <w:r w:rsidRPr="002E5414">
        <w:rPr>
          <w:rFonts w:ascii="Times New Roman" w:hAnsi="Times New Roman" w:cs="Times New Roman"/>
          <w:i/>
          <w:iCs/>
          <w:color w:val="000000" w:themeColor="text1"/>
        </w:rPr>
        <w:t xml:space="preserve"> Compiled by the author from reports of Provincial and Municipal Departments of Health (2025).</w:t>
      </w:r>
    </w:p>
    <w:p w14:paraId="078E6150" w14:textId="77777777" w:rsidR="00886A6B" w:rsidRPr="002E5414" w:rsidRDefault="00886A6B" w:rsidP="00886A6B">
      <w:pPr>
        <w:jc w:val="both"/>
        <w:rPr>
          <w:rFonts w:ascii="Times New Roman" w:hAnsi="Times New Roman" w:cs="Times New Roman"/>
          <w:b/>
          <w:color w:val="000000" w:themeColor="text1"/>
          <w:szCs w:val="26"/>
        </w:rPr>
      </w:pPr>
      <w:r w:rsidRPr="002E5414">
        <w:rPr>
          <w:rFonts w:ascii="Times New Roman" w:hAnsi="Times New Roman" w:cs="Times New Roman"/>
          <w:b/>
          <w:color w:val="000000" w:themeColor="text1"/>
          <w:szCs w:val="26"/>
        </w:rPr>
        <w:t>Table 2.2. Classification of public hospitals in the Mekong Delta region by degree of financial autonomy, 2023</w:t>
      </w:r>
    </w:p>
    <w:tbl>
      <w:tblPr>
        <w:tblW w:w="9788" w:type="dxa"/>
        <w:tblInd w:w="-5" w:type="dxa"/>
        <w:tblLook w:val="04A0" w:firstRow="1" w:lastRow="0" w:firstColumn="1" w:lastColumn="0" w:noHBand="0" w:noVBand="1"/>
      </w:tblPr>
      <w:tblGrid>
        <w:gridCol w:w="3212"/>
        <w:gridCol w:w="1177"/>
        <w:gridCol w:w="1349"/>
        <w:gridCol w:w="4050"/>
      </w:tblGrid>
      <w:tr w:rsidR="002E5414" w:rsidRPr="002E5414" w14:paraId="245030BD" w14:textId="77777777" w:rsidTr="0058141E">
        <w:trPr>
          <w:trHeight w:val="130"/>
        </w:trPr>
        <w:tc>
          <w:tcPr>
            <w:tcW w:w="3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7F58D"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Hospital Category</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09D42AF8"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Number of Hospitals</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B81329A"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Percentage (%)</w:t>
            </w:r>
          </w:p>
        </w:tc>
        <w:tc>
          <w:tcPr>
            <w:tcW w:w="4116" w:type="dxa"/>
            <w:tcBorders>
              <w:top w:val="single" w:sz="4" w:space="0" w:color="auto"/>
              <w:left w:val="nil"/>
              <w:bottom w:val="single" w:sz="4" w:space="0" w:color="auto"/>
              <w:right w:val="single" w:sz="4" w:space="0" w:color="auto"/>
            </w:tcBorders>
            <w:shd w:val="clear" w:color="auto" w:fill="auto"/>
            <w:vAlign w:val="center"/>
            <w:hideMark/>
          </w:tcPr>
          <w:p w14:paraId="167F14DD"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Characteristics</w:t>
            </w:r>
          </w:p>
        </w:tc>
      </w:tr>
      <w:tr w:rsidR="002E5414" w:rsidRPr="002E5414" w14:paraId="68D364D9" w14:textId="77777777" w:rsidTr="0058141E">
        <w:trPr>
          <w:trHeight w:val="260"/>
        </w:trPr>
        <w:tc>
          <w:tcPr>
            <w:tcW w:w="3263" w:type="dxa"/>
            <w:tcBorders>
              <w:top w:val="nil"/>
              <w:left w:val="single" w:sz="4" w:space="0" w:color="auto"/>
              <w:bottom w:val="single" w:sz="4" w:space="0" w:color="auto"/>
              <w:right w:val="single" w:sz="4" w:space="0" w:color="auto"/>
            </w:tcBorders>
            <w:shd w:val="clear" w:color="auto" w:fill="auto"/>
            <w:vAlign w:val="center"/>
            <w:hideMark/>
          </w:tcPr>
          <w:p w14:paraId="336A7CF5"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Fully Self-Financing for Recurrent and Capital Expenditures</w:t>
            </w:r>
          </w:p>
        </w:tc>
        <w:tc>
          <w:tcPr>
            <w:tcW w:w="1109" w:type="dxa"/>
            <w:tcBorders>
              <w:top w:val="nil"/>
              <w:left w:val="nil"/>
              <w:bottom w:val="single" w:sz="4" w:space="0" w:color="auto"/>
              <w:right w:val="single" w:sz="4" w:space="0" w:color="auto"/>
            </w:tcBorders>
            <w:shd w:val="clear" w:color="auto" w:fill="auto"/>
            <w:noWrap/>
            <w:vAlign w:val="center"/>
            <w:hideMark/>
          </w:tcPr>
          <w:p w14:paraId="1748829F"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22</w:t>
            </w:r>
          </w:p>
        </w:tc>
        <w:tc>
          <w:tcPr>
            <w:tcW w:w="1300" w:type="dxa"/>
            <w:tcBorders>
              <w:top w:val="nil"/>
              <w:left w:val="nil"/>
              <w:bottom w:val="single" w:sz="4" w:space="0" w:color="auto"/>
              <w:right w:val="single" w:sz="4" w:space="0" w:color="auto"/>
            </w:tcBorders>
            <w:shd w:val="clear" w:color="auto" w:fill="auto"/>
            <w:noWrap/>
            <w:vAlign w:val="center"/>
            <w:hideMark/>
          </w:tcPr>
          <w:p w14:paraId="53C7C967"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10.5</w:t>
            </w:r>
          </w:p>
        </w:tc>
        <w:tc>
          <w:tcPr>
            <w:tcW w:w="4116" w:type="dxa"/>
            <w:tcBorders>
              <w:top w:val="nil"/>
              <w:left w:val="nil"/>
              <w:bottom w:val="single" w:sz="4" w:space="0" w:color="auto"/>
              <w:right w:val="single" w:sz="4" w:space="0" w:color="auto"/>
            </w:tcBorders>
            <w:shd w:val="clear" w:color="auto" w:fill="auto"/>
            <w:vAlign w:val="center"/>
            <w:hideMark/>
          </w:tcPr>
          <w:p w14:paraId="328664BD"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Primarily large provincial hospitals with stable healthcare service revenues</w:t>
            </w:r>
          </w:p>
        </w:tc>
      </w:tr>
      <w:tr w:rsidR="002E5414" w:rsidRPr="002E5414" w14:paraId="37217B07" w14:textId="77777777" w:rsidTr="0058141E">
        <w:trPr>
          <w:trHeight w:val="390"/>
        </w:trPr>
        <w:tc>
          <w:tcPr>
            <w:tcW w:w="3263" w:type="dxa"/>
            <w:tcBorders>
              <w:top w:val="nil"/>
              <w:left w:val="single" w:sz="4" w:space="0" w:color="auto"/>
              <w:bottom w:val="single" w:sz="4" w:space="0" w:color="auto"/>
              <w:right w:val="single" w:sz="4" w:space="0" w:color="auto"/>
            </w:tcBorders>
            <w:shd w:val="clear" w:color="auto" w:fill="auto"/>
            <w:vAlign w:val="center"/>
            <w:hideMark/>
          </w:tcPr>
          <w:p w14:paraId="10D0CFE5"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Fully Self-Financing for Recurrent Expenditures</w:t>
            </w:r>
          </w:p>
        </w:tc>
        <w:tc>
          <w:tcPr>
            <w:tcW w:w="1109" w:type="dxa"/>
            <w:tcBorders>
              <w:top w:val="nil"/>
              <w:left w:val="nil"/>
              <w:bottom w:val="single" w:sz="4" w:space="0" w:color="auto"/>
              <w:right w:val="single" w:sz="4" w:space="0" w:color="auto"/>
            </w:tcBorders>
            <w:shd w:val="clear" w:color="auto" w:fill="auto"/>
            <w:noWrap/>
            <w:vAlign w:val="center"/>
            <w:hideMark/>
          </w:tcPr>
          <w:p w14:paraId="35C44FB8"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45</w:t>
            </w:r>
          </w:p>
        </w:tc>
        <w:tc>
          <w:tcPr>
            <w:tcW w:w="1300" w:type="dxa"/>
            <w:tcBorders>
              <w:top w:val="nil"/>
              <w:left w:val="nil"/>
              <w:bottom w:val="single" w:sz="4" w:space="0" w:color="auto"/>
              <w:right w:val="single" w:sz="4" w:space="0" w:color="auto"/>
            </w:tcBorders>
            <w:shd w:val="clear" w:color="auto" w:fill="auto"/>
            <w:noWrap/>
            <w:vAlign w:val="center"/>
            <w:hideMark/>
          </w:tcPr>
          <w:p w14:paraId="47332347"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21.4</w:t>
            </w:r>
          </w:p>
        </w:tc>
        <w:tc>
          <w:tcPr>
            <w:tcW w:w="4116" w:type="dxa"/>
            <w:tcBorders>
              <w:top w:val="nil"/>
              <w:left w:val="nil"/>
              <w:bottom w:val="single" w:sz="4" w:space="0" w:color="auto"/>
              <w:right w:val="single" w:sz="4" w:space="0" w:color="auto"/>
            </w:tcBorders>
            <w:shd w:val="clear" w:color="auto" w:fill="auto"/>
            <w:vAlign w:val="center"/>
            <w:hideMark/>
          </w:tcPr>
          <w:p w14:paraId="0FDD480B"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Provincial general hospitals and specialized hospitals with strong revenue-generating capacity</w:t>
            </w:r>
          </w:p>
        </w:tc>
      </w:tr>
      <w:tr w:rsidR="002E5414" w:rsidRPr="002E5414" w14:paraId="69593411" w14:textId="77777777" w:rsidTr="0058141E">
        <w:trPr>
          <w:trHeight w:val="260"/>
        </w:trPr>
        <w:tc>
          <w:tcPr>
            <w:tcW w:w="3263" w:type="dxa"/>
            <w:tcBorders>
              <w:top w:val="nil"/>
              <w:left w:val="single" w:sz="4" w:space="0" w:color="auto"/>
              <w:bottom w:val="single" w:sz="4" w:space="0" w:color="auto"/>
              <w:right w:val="single" w:sz="4" w:space="0" w:color="auto"/>
            </w:tcBorders>
            <w:shd w:val="clear" w:color="auto" w:fill="auto"/>
            <w:vAlign w:val="center"/>
            <w:hideMark/>
          </w:tcPr>
          <w:p w14:paraId="1A799BC1"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Partially Self-Financing for Recurrent Expenditures</w:t>
            </w:r>
          </w:p>
        </w:tc>
        <w:tc>
          <w:tcPr>
            <w:tcW w:w="1109" w:type="dxa"/>
            <w:tcBorders>
              <w:top w:val="nil"/>
              <w:left w:val="nil"/>
              <w:bottom w:val="single" w:sz="4" w:space="0" w:color="auto"/>
              <w:right w:val="single" w:sz="4" w:space="0" w:color="auto"/>
            </w:tcBorders>
            <w:shd w:val="clear" w:color="auto" w:fill="auto"/>
            <w:noWrap/>
            <w:vAlign w:val="center"/>
            <w:hideMark/>
          </w:tcPr>
          <w:p w14:paraId="4658F748"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85</w:t>
            </w:r>
          </w:p>
        </w:tc>
        <w:tc>
          <w:tcPr>
            <w:tcW w:w="1300" w:type="dxa"/>
            <w:tcBorders>
              <w:top w:val="nil"/>
              <w:left w:val="nil"/>
              <w:bottom w:val="single" w:sz="4" w:space="0" w:color="auto"/>
              <w:right w:val="single" w:sz="4" w:space="0" w:color="auto"/>
            </w:tcBorders>
            <w:shd w:val="clear" w:color="auto" w:fill="auto"/>
            <w:noWrap/>
            <w:vAlign w:val="center"/>
            <w:hideMark/>
          </w:tcPr>
          <w:p w14:paraId="5E135986"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40.5</w:t>
            </w:r>
          </w:p>
        </w:tc>
        <w:tc>
          <w:tcPr>
            <w:tcW w:w="4116" w:type="dxa"/>
            <w:tcBorders>
              <w:top w:val="nil"/>
              <w:left w:val="nil"/>
              <w:bottom w:val="single" w:sz="4" w:space="0" w:color="auto"/>
              <w:right w:val="single" w:sz="4" w:space="0" w:color="auto"/>
            </w:tcBorders>
            <w:shd w:val="clear" w:color="auto" w:fill="auto"/>
            <w:vAlign w:val="center"/>
            <w:hideMark/>
          </w:tcPr>
          <w:p w14:paraId="275E57C0"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The most prevalent category, generating service revenue while receiving state budget support</w:t>
            </w:r>
          </w:p>
        </w:tc>
      </w:tr>
      <w:tr w:rsidR="002E5414" w:rsidRPr="002E5414" w14:paraId="7ADF59EF" w14:textId="77777777" w:rsidTr="0058141E">
        <w:trPr>
          <w:trHeight w:val="260"/>
        </w:trPr>
        <w:tc>
          <w:tcPr>
            <w:tcW w:w="3263" w:type="dxa"/>
            <w:tcBorders>
              <w:top w:val="nil"/>
              <w:left w:val="single" w:sz="4" w:space="0" w:color="auto"/>
              <w:bottom w:val="single" w:sz="4" w:space="0" w:color="auto"/>
              <w:right w:val="single" w:sz="4" w:space="0" w:color="auto"/>
            </w:tcBorders>
            <w:shd w:val="clear" w:color="auto" w:fill="auto"/>
            <w:vAlign w:val="center"/>
            <w:hideMark/>
          </w:tcPr>
          <w:p w14:paraId="1E2F6FC8"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State Budget-Financed for Recurrent Expenditures</w:t>
            </w:r>
          </w:p>
        </w:tc>
        <w:tc>
          <w:tcPr>
            <w:tcW w:w="1109" w:type="dxa"/>
            <w:tcBorders>
              <w:top w:val="nil"/>
              <w:left w:val="nil"/>
              <w:bottom w:val="single" w:sz="4" w:space="0" w:color="auto"/>
              <w:right w:val="single" w:sz="4" w:space="0" w:color="auto"/>
            </w:tcBorders>
            <w:shd w:val="clear" w:color="auto" w:fill="auto"/>
            <w:noWrap/>
            <w:vAlign w:val="center"/>
            <w:hideMark/>
          </w:tcPr>
          <w:p w14:paraId="1CE00BF2"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58</w:t>
            </w:r>
          </w:p>
        </w:tc>
        <w:tc>
          <w:tcPr>
            <w:tcW w:w="1300" w:type="dxa"/>
            <w:tcBorders>
              <w:top w:val="nil"/>
              <w:left w:val="nil"/>
              <w:bottom w:val="single" w:sz="4" w:space="0" w:color="auto"/>
              <w:right w:val="single" w:sz="4" w:space="0" w:color="auto"/>
            </w:tcBorders>
            <w:shd w:val="clear" w:color="auto" w:fill="auto"/>
            <w:noWrap/>
            <w:vAlign w:val="center"/>
            <w:hideMark/>
          </w:tcPr>
          <w:p w14:paraId="5A3716E8" w14:textId="77777777" w:rsidR="00886A6B" w:rsidRPr="002E5414" w:rsidRDefault="00886A6B" w:rsidP="0058141E">
            <w:pPr>
              <w:spacing w:line="276" w:lineRule="auto"/>
              <w:jc w:val="center"/>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27.6</w:t>
            </w:r>
          </w:p>
        </w:tc>
        <w:tc>
          <w:tcPr>
            <w:tcW w:w="4116" w:type="dxa"/>
            <w:tcBorders>
              <w:top w:val="nil"/>
              <w:left w:val="nil"/>
              <w:bottom w:val="single" w:sz="4" w:space="0" w:color="auto"/>
              <w:right w:val="single" w:sz="4" w:space="0" w:color="auto"/>
            </w:tcBorders>
            <w:shd w:val="clear" w:color="auto" w:fill="auto"/>
            <w:vAlign w:val="center"/>
            <w:hideMark/>
          </w:tcPr>
          <w:p w14:paraId="0E76B3E0"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Predominantly small-scale district hospitals dependent on government budget allocations</w:t>
            </w:r>
          </w:p>
        </w:tc>
      </w:tr>
      <w:tr w:rsidR="002E5414" w:rsidRPr="002E5414" w14:paraId="33ACC862" w14:textId="77777777" w:rsidTr="0058141E">
        <w:trPr>
          <w:trHeight w:val="130"/>
        </w:trPr>
        <w:tc>
          <w:tcPr>
            <w:tcW w:w="3263" w:type="dxa"/>
            <w:tcBorders>
              <w:top w:val="nil"/>
              <w:left w:val="single" w:sz="4" w:space="0" w:color="auto"/>
              <w:bottom w:val="single" w:sz="4" w:space="0" w:color="auto"/>
              <w:right w:val="single" w:sz="4" w:space="0" w:color="auto"/>
            </w:tcBorders>
            <w:shd w:val="clear" w:color="auto" w:fill="auto"/>
            <w:vAlign w:val="center"/>
            <w:hideMark/>
          </w:tcPr>
          <w:p w14:paraId="658A238D"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Total</w:t>
            </w:r>
          </w:p>
        </w:tc>
        <w:tc>
          <w:tcPr>
            <w:tcW w:w="1109" w:type="dxa"/>
            <w:tcBorders>
              <w:top w:val="nil"/>
              <w:left w:val="nil"/>
              <w:bottom w:val="single" w:sz="4" w:space="0" w:color="auto"/>
              <w:right w:val="single" w:sz="4" w:space="0" w:color="auto"/>
            </w:tcBorders>
            <w:shd w:val="clear" w:color="auto" w:fill="auto"/>
            <w:noWrap/>
            <w:vAlign w:val="center"/>
            <w:hideMark/>
          </w:tcPr>
          <w:p w14:paraId="7F82D0A1"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210</w:t>
            </w:r>
          </w:p>
        </w:tc>
        <w:tc>
          <w:tcPr>
            <w:tcW w:w="1300" w:type="dxa"/>
            <w:tcBorders>
              <w:top w:val="nil"/>
              <w:left w:val="nil"/>
              <w:bottom w:val="single" w:sz="4" w:space="0" w:color="auto"/>
              <w:right w:val="single" w:sz="4" w:space="0" w:color="auto"/>
            </w:tcBorders>
            <w:shd w:val="clear" w:color="auto" w:fill="auto"/>
            <w:noWrap/>
            <w:vAlign w:val="center"/>
            <w:hideMark/>
          </w:tcPr>
          <w:p w14:paraId="588AACB8" w14:textId="77777777" w:rsidR="00886A6B" w:rsidRPr="002E5414" w:rsidRDefault="00886A6B" w:rsidP="0058141E">
            <w:pPr>
              <w:spacing w:line="276" w:lineRule="auto"/>
              <w:jc w:val="center"/>
              <w:rPr>
                <w:rFonts w:ascii="Times New Roman" w:hAnsi="Times New Roman" w:cs="Times New Roman"/>
                <w:b/>
                <w:color w:val="000000" w:themeColor="text1"/>
                <w:sz w:val="24"/>
              </w:rPr>
            </w:pPr>
            <w:r w:rsidRPr="002E5414">
              <w:rPr>
                <w:rFonts w:ascii="Times New Roman" w:hAnsi="Times New Roman" w:cs="Times New Roman"/>
                <w:b/>
                <w:color w:val="000000" w:themeColor="text1"/>
                <w:sz w:val="24"/>
              </w:rPr>
              <w:t>100</w:t>
            </w:r>
          </w:p>
        </w:tc>
        <w:tc>
          <w:tcPr>
            <w:tcW w:w="4116" w:type="dxa"/>
            <w:tcBorders>
              <w:top w:val="nil"/>
              <w:left w:val="nil"/>
              <w:bottom w:val="single" w:sz="4" w:space="0" w:color="auto"/>
              <w:right w:val="single" w:sz="4" w:space="0" w:color="auto"/>
            </w:tcBorders>
            <w:shd w:val="clear" w:color="auto" w:fill="auto"/>
            <w:vAlign w:val="center"/>
            <w:hideMark/>
          </w:tcPr>
          <w:p w14:paraId="5B10EEFA" w14:textId="77777777" w:rsidR="00886A6B" w:rsidRPr="002E5414" w:rsidRDefault="00886A6B" w:rsidP="0058141E">
            <w:pPr>
              <w:spacing w:line="276" w:lineRule="auto"/>
              <w:rPr>
                <w:rFonts w:ascii="Times New Roman" w:hAnsi="Times New Roman" w:cs="Times New Roman"/>
                <w:color w:val="000000" w:themeColor="text1"/>
                <w:sz w:val="24"/>
              </w:rPr>
            </w:pPr>
            <w:r w:rsidRPr="002E5414">
              <w:rPr>
                <w:rFonts w:ascii="Times New Roman" w:hAnsi="Times New Roman" w:cs="Times New Roman"/>
                <w:color w:val="000000" w:themeColor="text1"/>
                <w:sz w:val="24"/>
              </w:rPr>
              <w:t> </w:t>
            </w:r>
          </w:p>
        </w:tc>
      </w:tr>
    </w:tbl>
    <w:p w14:paraId="06903019" w14:textId="77777777" w:rsidR="00886A6B" w:rsidRPr="002E5414" w:rsidRDefault="00886A6B" w:rsidP="00886A6B">
      <w:pPr>
        <w:jc w:val="right"/>
        <w:rPr>
          <w:rFonts w:ascii="Times New Roman" w:hAnsi="Times New Roman" w:cs="Times New Roman"/>
          <w:color w:val="000000" w:themeColor="text1"/>
        </w:rPr>
      </w:pPr>
      <w:r w:rsidRPr="002E5414">
        <w:rPr>
          <w:rFonts w:ascii="Times New Roman" w:hAnsi="Times New Roman" w:cs="Times New Roman"/>
          <w:b/>
          <w:bCs/>
          <w:i/>
          <w:iCs/>
          <w:color w:val="000000" w:themeColor="text1"/>
        </w:rPr>
        <w:t>Source:</w:t>
      </w:r>
      <w:r w:rsidRPr="002E5414">
        <w:rPr>
          <w:rFonts w:ascii="Times New Roman" w:hAnsi="Times New Roman" w:cs="Times New Roman"/>
          <w:i/>
          <w:iCs/>
          <w:color w:val="000000" w:themeColor="text1"/>
        </w:rPr>
        <w:t xml:space="preserve"> Compiled by the author from reports of Provincial and Municipal Departments of Health (2025)</w:t>
      </w:r>
      <w:r w:rsidRPr="002E5414">
        <w:rPr>
          <w:rFonts w:ascii="Times New Roman" w:hAnsi="Times New Roman" w:cs="Times New Roman"/>
          <w:color w:val="000000" w:themeColor="text1"/>
        </w:rPr>
        <w:t>.</w:t>
      </w:r>
    </w:p>
    <w:p w14:paraId="6491D00C" w14:textId="77777777" w:rsidR="00886A6B" w:rsidRPr="002E5414" w:rsidRDefault="00886A6B" w:rsidP="002A3C38">
      <w:pPr>
        <w:pStyle w:val="isselectedend"/>
        <w:spacing w:before="0" w:beforeAutospacing="0" w:after="0" w:afterAutospacing="0" w:line="380" w:lineRule="exact"/>
        <w:ind w:firstLine="567"/>
        <w:jc w:val="both"/>
        <w:rPr>
          <w:color w:val="000000" w:themeColor="text1"/>
          <w:sz w:val="26"/>
          <w:szCs w:val="26"/>
        </w:rPr>
      </w:pPr>
      <w:r w:rsidRPr="002E5414">
        <w:rPr>
          <w:color w:val="000000" w:themeColor="text1"/>
          <w:sz w:val="26"/>
          <w:szCs w:val="26"/>
        </w:rPr>
        <w:lastRenderedPageBreak/>
        <w:t>A substantial proportion of district-level public hospitals and several small-scale provincial hospitals continue to face significant resource constraints, including outdated infrastructure and inadequate capacity to provide advanced medical services. Consequently, revenue generated from health insurance reimbursements and out-of-pocket healthcare services remains limited and is often insufficient to fully cover recurrent operating expenditures.</w:t>
      </w:r>
    </w:p>
    <w:p w14:paraId="48E75990" w14:textId="77777777" w:rsidR="00886A6B" w:rsidRPr="002E5414" w:rsidRDefault="00886A6B" w:rsidP="002A3C38">
      <w:pPr>
        <w:pStyle w:val="isselectedend"/>
        <w:spacing w:before="0" w:beforeAutospacing="0" w:after="0" w:afterAutospacing="0" w:line="380" w:lineRule="exact"/>
        <w:ind w:firstLine="567"/>
        <w:jc w:val="both"/>
        <w:rPr>
          <w:color w:val="000000" w:themeColor="text1"/>
          <w:sz w:val="26"/>
          <w:szCs w:val="26"/>
        </w:rPr>
      </w:pPr>
      <w:r w:rsidRPr="002E5414">
        <w:rPr>
          <w:color w:val="000000" w:themeColor="text1"/>
          <w:sz w:val="26"/>
          <w:szCs w:val="26"/>
        </w:rPr>
        <w:t>In addition, the patient profile and socio-economic characteristics of the Mekong Delta region have a direct influence on hospital revenue-generating capacity. The Mekong Delta remains a region with per capita income levels below the national average (General Statistics Office, 2023). Healthcare consumers in the region rely predominantly on health insurance schemes with relatively limited reimbursement levels and possess a lower capacity to pay for premium or high-quality medical services. As a result, public hospitals face constraints in expanding service revenues and improving financial self-sufficiency.</w:t>
      </w:r>
    </w:p>
    <w:p w14:paraId="6E63D728" w14:textId="77777777" w:rsidR="00886A6B" w:rsidRPr="002E5414" w:rsidRDefault="00886A6B" w:rsidP="002A3C38">
      <w:pPr>
        <w:pStyle w:val="isselectedend"/>
        <w:spacing w:before="0" w:beforeAutospacing="0" w:after="0" w:afterAutospacing="0" w:line="380" w:lineRule="exact"/>
        <w:ind w:firstLine="567"/>
        <w:jc w:val="both"/>
        <w:rPr>
          <w:color w:val="000000" w:themeColor="text1"/>
          <w:sz w:val="26"/>
          <w:szCs w:val="26"/>
        </w:rPr>
      </w:pPr>
      <w:r w:rsidRPr="002E5414">
        <w:rPr>
          <w:color w:val="000000" w:themeColor="text1"/>
          <w:sz w:val="26"/>
          <w:szCs w:val="26"/>
        </w:rPr>
        <w:t>Against the backdrop of the implementation of Decree No. 111/2025/ND-CP, which amends and supplements several provisions of Decree No. 60/2021/ND-CP on the financial autonomy mechanism of public service units, together with the Ministry of Finance’s new accounting regulations applicable to public sector entities, public hospitals in the Mekong Delta region are confronted with increasingly stringent financial management and accounting requirements. The revised regulatory framework not only classifies hospitals according to varying levels of financial autonomy—from full self-financing of recurrent and capital expenditures to complete dependence on state budget appropriations—but also establishes explicit requirements regarding financial management responsibilities, revenue and expenditure accounting, and the preparation of financial statements in accordance with standardized transparency and reporting principles.</w:t>
      </w:r>
    </w:p>
    <w:p w14:paraId="0741FE50" w14:textId="77777777" w:rsidR="00886A6B" w:rsidRPr="002E5414" w:rsidRDefault="00886A6B" w:rsidP="002A3C38">
      <w:pPr>
        <w:pStyle w:val="isselectedend"/>
        <w:spacing w:before="0" w:beforeAutospacing="0" w:after="0" w:afterAutospacing="0" w:line="380" w:lineRule="exact"/>
        <w:ind w:firstLine="567"/>
        <w:jc w:val="both"/>
        <w:rPr>
          <w:color w:val="000000" w:themeColor="text1"/>
          <w:sz w:val="26"/>
          <w:szCs w:val="26"/>
        </w:rPr>
      </w:pPr>
      <w:r w:rsidRPr="002E5414">
        <w:rPr>
          <w:color w:val="000000" w:themeColor="text1"/>
          <w:sz w:val="26"/>
          <w:szCs w:val="26"/>
        </w:rPr>
        <w:t>These regulatory changes have profound implications for hospital accounting systems, requiring accounting functions to be organized in strict compliance with legal and professional standards. Specifically, accounting systems must ensure the comprehensive, timely, and accurate recognition of revenues derived from healthcare services, health insurance reimbursements, grants, donations, and socialized investment activities. Simultaneously, hospitals are required to strengthen expenditure control mechanisms, particularly for pharmaceutical costs, medical supplies, personnel expenses, and fixed asset depreciation.</w:t>
      </w:r>
    </w:p>
    <w:p w14:paraId="09C60261" w14:textId="77777777" w:rsidR="00886A6B" w:rsidRPr="002E5414" w:rsidRDefault="00886A6B" w:rsidP="002A3C38">
      <w:pPr>
        <w:pStyle w:val="isselectedend"/>
        <w:spacing w:before="0" w:beforeAutospacing="0" w:after="0" w:afterAutospacing="0" w:line="380" w:lineRule="exact"/>
        <w:ind w:firstLine="567"/>
        <w:jc w:val="both"/>
        <w:rPr>
          <w:color w:val="000000" w:themeColor="text1"/>
          <w:sz w:val="26"/>
          <w:szCs w:val="26"/>
        </w:rPr>
      </w:pPr>
      <w:r w:rsidRPr="002E5414">
        <w:rPr>
          <w:color w:val="000000" w:themeColor="text1"/>
          <w:sz w:val="26"/>
          <w:szCs w:val="26"/>
        </w:rPr>
        <w:t xml:space="preserve">Therefore, changes in the public financial management framework represent not only a key driver of accounting reform within public hospitals in the Mekong Delta region but also a significant challenge. Hospitals must simultaneously ensure regulatory compliance, enhance financial governance efficiency, improve accountability and </w:t>
      </w:r>
      <w:r w:rsidRPr="002E5414">
        <w:rPr>
          <w:color w:val="000000" w:themeColor="text1"/>
          <w:sz w:val="26"/>
          <w:szCs w:val="26"/>
        </w:rPr>
        <w:lastRenderedPageBreak/>
        <w:t>transparency, and maintain the long-term financial sustainability of healthcare service delivery.</w:t>
      </w:r>
    </w:p>
    <w:p w14:paraId="0C560960" w14:textId="77777777" w:rsidR="00886A6B" w:rsidRPr="002E5414" w:rsidRDefault="00886A6B" w:rsidP="002A3C38">
      <w:pPr>
        <w:pStyle w:val="Heading3"/>
        <w:spacing w:before="0" w:after="0" w:line="380" w:lineRule="exact"/>
        <w:ind w:left="0" w:firstLine="142"/>
        <w:rPr>
          <w:color w:val="000000" w:themeColor="text1"/>
        </w:rPr>
      </w:pPr>
      <w:r w:rsidRPr="002E5414">
        <w:rPr>
          <w:color w:val="000000" w:themeColor="text1"/>
        </w:rPr>
        <w:t>2.1.2. Economic and demographic characteristics and their implications for hospital revenue and expenditure structures</w:t>
      </w:r>
    </w:p>
    <w:p w14:paraId="5BB25BF3" w14:textId="77777777" w:rsidR="00886A6B" w:rsidRPr="002E5414" w:rsidRDefault="00886A6B" w:rsidP="002A3C38">
      <w:pPr>
        <w:pStyle w:val="Heading3"/>
        <w:spacing w:before="0" w:after="0" w:line="380" w:lineRule="exact"/>
        <w:ind w:left="0" w:firstLine="142"/>
        <w:rPr>
          <w:color w:val="000000" w:themeColor="text1"/>
        </w:rPr>
      </w:pPr>
      <w:r w:rsidRPr="002E5414">
        <w:rPr>
          <w:color w:val="000000" w:themeColor="text1"/>
        </w:rPr>
        <w:t>2.1.3. Characteristics of healthcare and accounting human resources in the region</w:t>
      </w:r>
    </w:p>
    <w:p w14:paraId="647E5C55" w14:textId="77777777" w:rsidR="00886A6B" w:rsidRPr="002E5414" w:rsidRDefault="00886A6B" w:rsidP="002A3C38">
      <w:pPr>
        <w:pStyle w:val="Heading3"/>
        <w:spacing w:before="0" w:after="0" w:line="380" w:lineRule="exact"/>
        <w:ind w:left="0" w:firstLine="142"/>
        <w:rPr>
          <w:color w:val="000000" w:themeColor="text1"/>
        </w:rPr>
      </w:pPr>
      <w:r w:rsidRPr="002E5414">
        <w:rPr>
          <w:color w:val="000000" w:themeColor="text1"/>
        </w:rPr>
        <w:t>2.1.4. Characteristics of healthcare socialization in the Mekong Delta region</w:t>
      </w:r>
    </w:p>
    <w:p w14:paraId="5EA907A9" w14:textId="77777777" w:rsidR="00886A6B" w:rsidRPr="002E5414" w:rsidRDefault="00886A6B" w:rsidP="002A3C38">
      <w:pPr>
        <w:pStyle w:val="Heading3"/>
        <w:spacing w:before="0" w:after="0" w:line="380" w:lineRule="exact"/>
        <w:ind w:left="0" w:firstLine="142"/>
        <w:rPr>
          <w:color w:val="000000" w:themeColor="text1"/>
        </w:rPr>
      </w:pPr>
      <w:r w:rsidRPr="002E5414">
        <w:rPr>
          <w:color w:val="000000" w:themeColor="text1"/>
        </w:rPr>
        <w:t>2.2. Current state of accounting organization in public hospitals in the Mekong Delta region</w:t>
      </w:r>
    </w:p>
    <w:p w14:paraId="1597D5FC" w14:textId="77777777" w:rsidR="00886A6B" w:rsidRPr="002E5414" w:rsidRDefault="00886A6B" w:rsidP="002A3C38">
      <w:pPr>
        <w:pStyle w:val="Heading3"/>
        <w:spacing w:before="0" w:after="0" w:line="380" w:lineRule="exact"/>
        <w:ind w:left="0" w:firstLine="142"/>
        <w:rPr>
          <w:color w:val="000000" w:themeColor="text1"/>
        </w:rPr>
      </w:pPr>
      <w:r w:rsidRPr="002E5414">
        <w:rPr>
          <w:color w:val="000000" w:themeColor="text1"/>
        </w:rPr>
        <w:t>2.2.1. Current state of the accounting function</w:t>
      </w:r>
    </w:p>
    <w:p w14:paraId="30A98C6A" w14:textId="77777777" w:rsidR="0028291C" w:rsidRPr="002E5414" w:rsidRDefault="0028291C"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 accounting function in public hospitals across the Mekong Delta region is generally stable and well established. All Chief Accountant positions are occupied by individuals who meet the prescribed professional qualification requirements. The accounting workforce is characterized by a relatively high educational attainment, with 84.93% of personnel holding at least a bachelor's degree, while female employees account for 81.55% of the total accounting staff.</w:t>
      </w:r>
    </w:p>
    <w:p w14:paraId="70EEB693" w14:textId="737C88E9" w:rsidR="00886A6B" w:rsidRPr="002E5414" w:rsidRDefault="0028291C"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Despite these strengths, shortages remain in highly specialized areas, particularly in public sector accounting and management accounting, with the most significant gaps observed at the commune and district levels. Hospitals operating under full financial autonomy demonstrate a comparatively higher degree of professionalism and organizational capacity. These institutions are more proactive in investing in staff development, with 70.32% financing professional training and continuing education through internally generated funds. They also exhibit a more systematic approach to workforce planning and staffing allocation than hospitals operating under lower levels of financial autonomy.</w:t>
      </w:r>
    </w:p>
    <w:p w14:paraId="10DF156C" w14:textId="77777777" w:rsidR="00886A6B" w:rsidRPr="002E5414" w:rsidRDefault="00886A6B" w:rsidP="002A3C38">
      <w:pPr>
        <w:pStyle w:val="Heading3"/>
        <w:spacing w:before="0" w:after="0" w:line="380" w:lineRule="exact"/>
        <w:rPr>
          <w:color w:val="000000" w:themeColor="text1"/>
        </w:rPr>
      </w:pPr>
      <w:r w:rsidRPr="002E5414">
        <w:rPr>
          <w:color w:val="000000" w:themeColor="text1"/>
        </w:rPr>
        <w:t>2.2.2. Accounting information collection and source document processing</w:t>
      </w:r>
    </w:p>
    <w:p w14:paraId="1B4C27A2" w14:textId="77777777" w:rsidR="0028291C" w:rsidRPr="002E5414" w:rsidRDefault="0028291C"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Accounting information is primarily collected through computerized accounting systems, with 90.2% of hospitals utilizing accounting software to support data recording and processing. Nevertheless, paper-based documentation continues to coexist with electronic systems, as 66.94% of hospitals still rely on manual source documents as part of their accounting procedures.</w:t>
      </w:r>
    </w:p>
    <w:p w14:paraId="53992A46" w14:textId="77777777" w:rsidR="0028291C" w:rsidRPr="002E5414" w:rsidRDefault="0028291C"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Most hospitals have adopted a hybrid documentation framework, combining standardized forms prescribed by the Ministry of Finance with internally developed templates tailored to operational requirements. However, deficiencies remain in the document circulation and approval process, with 32.65% of surveyed hospitals lacking formalized procedures governing document flows.</w:t>
      </w:r>
    </w:p>
    <w:p w14:paraId="688DCDB8" w14:textId="35F790A7" w:rsidR="00886A6B" w:rsidRPr="002E5414" w:rsidRDefault="0028291C"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 xml:space="preserve">The most significant challenges relate to the timeliness and quality of supporting documentation. Delays in receiving documents from external parties were identified by 84.9% of respondents as a major obstacle, while 66.12% reported frequent occurrences of incomplete or non-compliant source documents. These issues adversely affect the </w:t>
      </w:r>
      <w:r w:rsidRPr="002E5414">
        <w:rPr>
          <w:rFonts w:ascii="Times New Roman" w:hAnsi="Times New Roman" w:cs="Times New Roman"/>
          <w:color w:val="000000" w:themeColor="text1"/>
          <w:szCs w:val="26"/>
        </w:rPr>
        <w:lastRenderedPageBreak/>
        <w:t>timeliness of transaction recording, increase the administrative burden on accounting personnel, and potentially undermine the accuracy and reliability of financial information used for management and reporting purposes.</w:t>
      </w:r>
    </w:p>
    <w:p w14:paraId="2319F7BE" w14:textId="77777777" w:rsidR="00886A6B" w:rsidRPr="002E5414" w:rsidRDefault="00886A6B" w:rsidP="002A3C38">
      <w:pPr>
        <w:pStyle w:val="Heading3"/>
        <w:spacing w:before="0" w:after="0" w:line="380" w:lineRule="exact"/>
        <w:rPr>
          <w:color w:val="000000" w:themeColor="text1"/>
        </w:rPr>
      </w:pPr>
      <w:r w:rsidRPr="002E5414">
        <w:rPr>
          <w:color w:val="000000" w:themeColor="text1"/>
        </w:rPr>
        <w:t>2.2.3. Current state of accounting information processing and systematization</w:t>
      </w:r>
    </w:p>
    <w:p w14:paraId="3641FD14"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 verification and reconciliation of accounting records prior to financial reporting are generally conducted in a systematic manner, with compliance rates exceeding 90% across surveyed hospitals. Nevertheless, weaknesses remain within the internal control framework. Approximately 23.67% of hospitals have not established a dedicated internal control unit, thereby increasing the risk of conflicts of interest when the accounting department assumes responsibility for both accounting operations and internal oversight functions. This situation was observed in 37.96% of the surveyed hospitals.</w:t>
      </w:r>
    </w:p>
    <w:p w14:paraId="1C96C5EE"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Regarding record retention practices, 94.69% of hospitals have adopted a hybrid archiving model that combines physical and electronic documentation. While this approach enhances information accessibility and storage efficiency, procedures governing the disposal and destruction of accounting records remain inconsistent across institutions and, in some cases, do not fully comply with prevailing legal and regulatory requirements. These shortcomings may expose hospitals to operational, compliance, and audit risks.</w:t>
      </w:r>
    </w:p>
    <w:p w14:paraId="5F33F0E2" w14:textId="77777777" w:rsidR="00886A6B" w:rsidRPr="002E5414" w:rsidRDefault="00886A6B" w:rsidP="002A3C38">
      <w:pPr>
        <w:pStyle w:val="Heading3"/>
        <w:spacing w:before="0" w:after="0" w:line="380" w:lineRule="exact"/>
        <w:rPr>
          <w:color w:val="000000" w:themeColor="text1"/>
        </w:rPr>
      </w:pPr>
      <w:r w:rsidRPr="002E5414">
        <w:rPr>
          <w:color w:val="000000" w:themeColor="text1"/>
        </w:rPr>
        <w:t>2.2.4. Current state of the provision of accounting information</w:t>
      </w:r>
    </w:p>
    <w:p w14:paraId="66ACFB7F"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Public hospitals primarily employ the First-In, First-Out (FIFO) method for inventory valuation, with an adoption rate of 78.37%, while 64.08% utilize the straight-line method for fixed asset depreciation. The accounting systems implemented by most hospitals are closely aligned with existing public sector accounting regulations and standards, with 71.84% of institutions maintaining standardized chart-of-account structures.</w:t>
      </w:r>
    </w:p>
    <w:p w14:paraId="15391879"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Despite the high degree of regulatory compliance, accounting systems generally exhibit limited flexibility in supporting managerial and operational information needs. Although revenue and expenditure accounting procedures are largely stable and standardized, financially autonomous hospitals continue to face substantial challenges in allocating costs among multiple funding sources and reconciling healthcare insurance claims. In particular, the cross-sectoral reconciliation of health insurance data involves complex coordination among hospitals, social insurance agencies, and other stakeholders, creating significant administrative and accounting challenges.</w:t>
      </w:r>
    </w:p>
    <w:p w14:paraId="4A6C8B8F" w14:textId="77777777" w:rsidR="00886A6B" w:rsidRPr="002E5414" w:rsidRDefault="00886A6B" w:rsidP="002A3C38">
      <w:pPr>
        <w:pStyle w:val="Heading3"/>
        <w:spacing w:line="380" w:lineRule="exact"/>
        <w:rPr>
          <w:color w:val="000000" w:themeColor="text1"/>
        </w:rPr>
      </w:pPr>
      <w:r w:rsidRPr="002E5414">
        <w:rPr>
          <w:color w:val="000000" w:themeColor="text1"/>
        </w:rPr>
        <w:t>2.2.5. Current state of accounting information analysis for decision-making</w:t>
      </w:r>
    </w:p>
    <w:p w14:paraId="4132D03B"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 xml:space="preserve">The timeliness of financial reporting is generally satisfactory, with 95.92% of hospitals preparing and submitting financial statements within the prescribed deadlines. </w:t>
      </w:r>
      <w:r w:rsidRPr="002E5414">
        <w:rPr>
          <w:rFonts w:ascii="Times New Roman" w:hAnsi="Times New Roman" w:cs="Times New Roman"/>
          <w:color w:val="000000" w:themeColor="text1"/>
          <w:szCs w:val="26"/>
        </w:rPr>
        <w:lastRenderedPageBreak/>
        <w:t>However, the level of public disclosure remains relatively limited, as only 39.5% of hospitals publish financial information through their official websites.</w:t>
      </w:r>
    </w:p>
    <w:p w14:paraId="556B34C2"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A notable weakness is the underdevelopment of management accounting systems. Only 24.49% of surveyed hospitals have established an independent management accounting function. Consequently, the preparation of internal reports to support strategic decision-making remains limited. Analytical activities related to healthcare service pricing, cost behavior analysis, budget performance evaluation, and resource allocation are insufficiently developed. Instead, accounting practices continue to focus predominantly on compliance-oriented reporting requirements imposed by supervisory authorities, rather than on generating value-added information to support managerial planning, control, and decision-making.</w:t>
      </w:r>
    </w:p>
    <w:p w14:paraId="0CD3E1B4" w14:textId="77777777" w:rsidR="00886A6B" w:rsidRPr="002E5414" w:rsidRDefault="00886A6B" w:rsidP="00886A6B">
      <w:pPr>
        <w:pStyle w:val="Heading3"/>
        <w:spacing w:line="360" w:lineRule="auto"/>
        <w:rPr>
          <w:color w:val="000000" w:themeColor="text1"/>
        </w:rPr>
      </w:pPr>
      <w:r w:rsidRPr="002E5414">
        <w:rPr>
          <w:color w:val="000000" w:themeColor="text1"/>
        </w:rPr>
        <w:t>2.3. Evaluation of the organization of accounting practices in public hospitals in the Mekong Delta region</w:t>
      </w:r>
    </w:p>
    <w:p w14:paraId="37866718" w14:textId="77777777" w:rsidR="00886A6B" w:rsidRPr="002E5414" w:rsidRDefault="00886A6B" w:rsidP="00886A6B">
      <w:pPr>
        <w:pStyle w:val="Heading3"/>
        <w:spacing w:line="360" w:lineRule="auto"/>
        <w:rPr>
          <w:color w:val="000000" w:themeColor="text1"/>
        </w:rPr>
      </w:pPr>
      <w:r w:rsidRPr="002E5414">
        <w:rPr>
          <w:color w:val="000000" w:themeColor="text1"/>
        </w:rPr>
        <w:t>2.3.1. Strengths of accounting organization</w:t>
      </w:r>
    </w:p>
    <w:p w14:paraId="3A2DE01B"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 dissertation identifies several notable strengths in the organization of accounting practices within public hospitals in the Mekong Delta region. First, all surveyed hospitals (100%) have established independent accounting departments and demonstrate a high level of compliance with current accounting regulations and the newly issued accounting regime applicable to public sector entities. The accounting workforce possesses relatively strong professional qualifications, contributing to a financial reporting compliance rate exceeding 95% in terms of timeliness and completeness.</w:t>
      </w:r>
    </w:p>
    <w:p w14:paraId="0CFB443A"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Second, hospitals have effectively adopted specialized accounting software, particularly MISA, while also promoting the widespread use of electronic documents, cashless payment systems, and electronic tax filing. Hospital management boards generally recognize the strategic importance of accounting information and have proactively invested in modern technological infrastructure to support accounting operations and financial management.</w:t>
      </w:r>
    </w:p>
    <w:p w14:paraId="1E752570"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Third, procedures for reviewing, verifying, and reconciling accounting records prior to financial statement preparation are implemented systematically. Completion rates for revenue and expenditure reconciliation reach 97.55%, while inventory verification and account balance reconciliation exceed 93%. These practices contribute significantly to enhancing the accuracy, reliability, and credibility of financial information.</w:t>
      </w:r>
    </w:p>
    <w:p w14:paraId="0F29EE4A" w14:textId="77777777" w:rsidR="00886A6B" w:rsidRPr="002E5414" w:rsidRDefault="00886A6B" w:rsidP="002A3C38">
      <w:pPr>
        <w:pStyle w:val="Heading3"/>
        <w:spacing w:line="380" w:lineRule="exact"/>
        <w:rPr>
          <w:color w:val="000000" w:themeColor="text1"/>
        </w:rPr>
      </w:pPr>
      <w:r w:rsidRPr="002E5414">
        <w:rPr>
          <w:color w:val="000000" w:themeColor="text1"/>
        </w:rPr>
        <w:lastRenderedPageBreak/>
        <w:t>2.3.2. Limitations in the organization of accounting practices in public hospitals in the Mekong Delta region</w:t>
      </w:r>
    </w:p>
    <w:p w14:paraId="56A753FD"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Despite these achievements, the organization of accounting systems in public hospitals across the Mekong Delta region continues to face several significant challenges.</w:t>
      </w:r>
    </w:p>
    <w:p w14:paraId="6C4DF935"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First, information technology infrastructure remains fragmented and lacks adequate integration. Approximately 51.02% of hospitals have not yet integrated accounting systems with hospital information systems (HIS) and laboratory information systems (LIS). Furthermore, management accounting remains underdeveloped, with only 24.49% of hospitals implementing a separate management accounting function. Consequently, the availability of advanced analytical tools to support strategic decision-making remains limited.</w:t>
      </w:r>
    </w:p>
    <w:p w14:paraId="065E6077"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Second, internal control mechanisms are often formalistic and lack independence. In many hospitals, the accounting department is responsible for both accounting operations and internal review activities, potentially compromising the objectivity and effectiveness of internal controls.</w:t>
      </w:r>
    </w:p>
    <w:p w14:paraId="6DA77298"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Third, human resource constraints persist, particularly at district-level hospitals. The shortage of professionals with specialized expertise in public sector accounting and management accounting limits the capacity of hospitals to meet increasingly complex financial management requirements.</w:t>
      </w:r>
    </w:p>
    <w:p w14:paraId="4BE4285B" w14:textId="471F4312"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Fourth, the transition to the accounting regime for public sector entities has created operational challenges. Difficulties in interpreting and implementing</w:t>
      </w:r>
      <w:r w:rsidR="004F1641" w:rsidRPr="002E5414">
        <w:rPr>
          <w:rFonts w:ascii="Times New Roman" w:hAnsi="Times New Roman" w:cs="Times New Roman"/>
          <w:color w:val="000000" w:themeColor="text1"/>
          <w:szCs w:val="26"/>
        </w:rPr>
        <w:t xml:space="preserve"> </w:t>
      </w:r>
      <w:r w:rsidRPr="002E5414">
        <w:rPr>
          <w:rFonts w:ascii="Times New Roman" w:hAnsi="Times New Roman" w:cs="Times New Roman"/>
          <w:color w:val="000000" w:themeColor="text1"/>
          <w:szCs w:val="26"/>
        </w:rPr>
        <w:t>regulatory requirements have increased workloads and heightened the risk of accounting errors and reporting inconsistencies.</w:t>
      </w:r>
    </w:p>
    <w:p w14:paraId="0AECFDB5"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Finally, accounting procedures have not yet been fully standardized across hospitals. This issue is particularly evident in the application of year-end accounting estimates and adjustments, which may adversely affect the transparency, comparability, and reliability of financial information.</w:t>
      </w:r>
    </w:p>
    <w:p w14:paraId="40CDC9A4" w14:textId="77777777" w:rsidR="00886A6B" w:rsidRPr="002E5414" w:rsidRDefault="00886A6B" w:rsidP="002A3C38">
      <w:pPr>
        <w:pStyle w:val="Heading3"/>
        <w:spacing w:line="380" w:lineRule="exact"/>
        <w:rPr>
          <w:color w:val="000000" w:themeColor="text1"/>
        </w:rPr>
      </w:pPr>
      <w:r w:rsidRPr="002E5414">
        <w:rPr>
          <w:color w:val="000000" w:themeColor="text1"/>
        </w:rPr>
        <w:t>2.3.3. Causes of the limitations</w:t>
      </w:r>
    </w:p>
    <w:p w14:paraId="31BD7DF5" w14:textId="4A6484C8"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 aforementioned limitations stem from both external and internal factors. From an external perspective, frequent changes in accounting regulations and the absence of detailed implementation guidance for the accounting regime applicable to public sector entities have created considerable challenges for hospitals. In addition, the complex funding structure of public hospitals—including health insurance reimbursements, state budget appropriations, grants, and other external funding sources—significantly increases the complexity of accounting and financial reporting processes.</w:t>
      </w:r>
    </w:p>
    <w:p w14:paraId="4D95F0A0"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 xml:space="preserve">From an internal perspective, managerial awareness and staff competencies related to management accounting remain limited. Accounting activities continue to focus </w:t>
      </w:r>
      <w:r w:rsidRPr="002E5414">
        <w:rPr>
          <w:rFonts w:ascii="Times New Roman" w:hAnsi="Times New Roman" w:cs="Times New Roman"/>
          <w:color w:val="000000" w:themeColor="text1"/>
          <w:szCs w:val="26"/>
        </w:rPr>
        <w:lastRenderedPageBreak/>
        <w:t>primarily on regulatory compliance and financial reporting obligations rather than generating analytical information for managerial planning, performance evaluation, and strategic decision-making.</w:t>
      </w:r>
    </w:p>
    <w:p w14:paraId="0C3D150D"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Moreover, financial resource constraints have directly restricted investments in integrated information technology infrastructure, professional development programs, and competitive compensation policies necessary to attract and retain highly qualified accounting personnel. The lack of an independent internal control function and the delayed updating of accounting software to reflect new regulatory requirements further impede efforts to standardize accounting processes and strengthen financial governance.</w:t>
      </w:r>
    </w:p>
    <w:p w14:paraId="2B7273BF" w14:textId="77777777" w:rsidR="002D20D4" w:rsidRPr="002E5414" w:rsidRDefault="002D20D4" w:rsidP="002A3C38">
      <w:pPr>
        <w:spacing w:line="380" w:lineRule="exact"/>
        <w:ind w:firstLine="567"/>
        <w:jc w:val="both"/>
        <w:rPr>
          <w:rFonts w:ascii="Times New Roman" w:hAnsi="Times New Roman" w:cs="Times New Roman"/>
          <w:b/>
          <w:bCs/>
          <w:color w:val="000000" w:themeColor="text1"/>
          <w:szCs w:val="26"/>
        </w:rPr>
      </w:pPr>
      <w:r w:rsidRPr="002E5414">
        <w:rPr>
          <w:rFonts w:ascii="Times New Roman" w:hAnsi="Times New Roman" w:cs="Times New Roman"/>
          <w:color w:val="000000" w:themeColor="text1"/>
          <w:szCs w:val="26"/>
        </w:rPr>
        <w:t>Based on the qualitative and quantitative findings, the dissertation identifies seven key factors influencing the organization of accounting practices in public hospitals in the Mekong Delta region: (1) legal and regulatory environment; (2) information technology and accounting software; (3) competency of accounting personnel; (4) demand for accounting information; (5) budget preparation process; (6) risk management practices; and (7) financial resources for investment.</w:t>
      </w:r>
    </w:p>
    <w:p w14:paraId="7CA953E0" w14:textId="40D7A219" w:rsidR="00886A6B" w:rsidRPr="002E5414" w:rsidRDefault="00886A6B" w:rsidP="002A3C38">
      <w:pPr>
        <w:pStyle w:val="Heading3"/>
        <w:spacing w:line="380" w:lineRule="exact"/>
        <w:rPr>
          <w:color w:val="000000" w:themeColor="text1"/>
        </w:rPr>
      </w:pPr>
      <w:r w:rsidRPr="002E5414">
        <w:rPr>
          <w:color w:val="000000" w:themeColor="text1"/>
        </w:rPr>
        <w:t>2.4. Empirical examination of factors influencing the organization of accounting practices in public hospitals in the Mekong Delta region</w:t>
      </w:r>
    </w:p>
    <w:p w14:paraId="0703B5A9" w14:textId="225088BA"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 regression results presented in Table 2.3 indicate that the model demonstrates strong explanatory power, with a coefficient of determination (R²) of 0.782. This suggests that approximately 78.2% of the variation in the organization of accounting practices can be explained by the independent variables included in the model. Among the seven proposed determinants, six variables exhibit statistically significant effects (Sig. &lt; 0.05) on accounting organization. Multicollinearity was assessed using the Variance Inflation Factor (VIF). All independent variables reported VIF values below 2.5 and tolerance values exceeding 0.1, indicating the absence of serious multicollinearity concerns. Therefore, the estimated coefficients can be considered statistically reliable and suitable for interpretation.</w:t>
      </w:r>
    </w:p>
    <w:p w14:paraId="64B79B57"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Competency of Accounting Personnel (M_NLNVKT)</w:t>
      </w:r>
      <w:r w:rsidRPr="002E5414">
        <w:rPr>
          <w:rFonts w:ascii="Times New Roman" w:hAnsi="Times New Roman" w:cs="Times New Roman"/>
          <w:color w:val="000000" w:themeColor="text1"/>
          <w:szCs w:val="26"/>
        </w:rPr>
        <w:t xml:space="preserve"> exerts a positive and statistically significant influence on the organization of accounting practices (β = 0.237; t = 7.135; p = 0.000). This finding suggests that accountants possessing strong professional expertise, technological proficiency, and a comprehensive understanding of public sector accounting standards contribute directly to the accuracy, completeness, and reliability of accounting information. The result highlights that investment in professional training and capacity development is not merely a technical requirement but also a strategic imperative for modernizing public financial management.</w:t>
      </w:r>
    </w:p>
    <w:p w14:paraId="72CF3E95"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Risk Management (M_QLRR)</w:t>
      </w:r>
      <w:r w:rsidRPr="002E5414">
        <w:rPr>
          <w:rFonts w:ascii="Times New Roman" w:hAnsi="Times New Roman" w:cs="Times New Roman"/>
          <w:color w:val="000000" w:themeColor="text1"/>
          <w:szCs w:val="26"/>
        </w:rPr>
        <w:t xml:space="preserve"> also demonstrates a significant positive effect (β = 0.239; t = 5.548; p = 0.000), emphasizing the critical role of risk control mechanisms within public hospital accounting systems. Well-designed internal control systems </w:t>
      </w:r>
      <w:r w:rsidRPr="002E5414">
        <w:rPr>
          <w:rFonts w:ascii="Times New Roman" w:hAnsi="Times New Roman" w:cs="Times New Roman"/>
          <w:color w:val="000000" w:themeColor="text1"/>
          <w:szCs w:val="26"/>
        </w:rPr>
        <w:lastRenderedPageBreak/>
        <w:t>facilitate the timely identification and mitigation of financial risks, thereby enhancing the credibility and integrity of accounting information. This finding implies that strengthening internal audit functions, risk assessment procedures, and continuous monitoring mechanisms should be prioritized, particularly in the context of increasing financial autonomy and growing accountability requirements in the public sector.</w:t>
      </w:r>
    </w:p>
    <w:p w14:paraId="13A0BC23"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Information Technology (M_CNTT)</w:t>
      </w:r>
      <w:r w:rsidRPr="002E5414">
        <w:rPr>
          <w:rFonts w:ascii="Times New Roman" w:hAnsi="Times New Roman" w:cs="Times New Roman"/>
          <w:color w:val="000000" w:themeColor="text1"/>
          <w:szCs w:val="26"/>
        </w:rPr>
        <w:t xml:space="preserve"> is likewise identified as a significant determinant (β = 0.107; t = 2.873; p = 0.004). Although its effect size is smaller relative to other factors, information technology remains an essential enabler of accounting efficiency through process automation, reduced processing time, and improved data accuracy. However, to fully realize these benefits, accounting software should be integrated with other management information systems, including Hospital Information Systems (HIS), Health Insurance Information Systems, and budget management systems. Such integration remains insufficient in many public hospitals within the region.</w:t>
      </w:r>
    </w:p>
    <w:p w14:paraId="185E54AC" w14:textId="70FFF35F"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Legal and Regulatory Environment (M_MTPL)</w:t>
      </w:r>
      <w:r w:rsidRPr="002E5414">
        <w:rPr>
          <w:rFonts w:ascii="Times New Roman" w:hAnsi="Times New Roman" w:cs="Times New Roman"/>
          <w:color w:val="000000" w:themeColor="text1"/>
          <w:szCs w:val="26"/>
        </w:rPr>
        <w:t xml:space="preserve"> has a positive and statistically significant impact on accounting organization (β = 0.138; t = 3.470; p = 0.001). Clear, timely, and well-structured accounting regulations, particularly the accounting regime applicable to public sector entities, facilitate compliance and improve the effectiveness of accounting system implementation. Conversely, regulatory inconsistencies and delays in issuing implementation guidelines may create uncertainty and reduce policy effectiveness.</w:t>
      </w:r>
    </w:p>
    <w:p w14:paraId="75E308AC"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Demand for Accounting Information (M_NCTTKT)</w:t>
      </w:r>
      <w:r w:rsidRPr="002E5414">
        <w:rPr>
          <w:rFonts w:ascii="Times New Roman" w:hAnsi="Times New Roman" w:cs="Times New Roman"/>
          <w:color w:val="000000" w:themeColor="text1"/>
          <w:szCs w:val="26"/>
        </w:rPr>
        <w:t xml:space="preserve"> also exerts a significant positive effect (β = 0.109; t = 2.862; p = 0.005). This finding suggests that when organizational leaders actively utilize accounting information for managerial and strategic decision-making, stronger incentives emerge for improving the quality and effectiveness of accounting systems. Consequently, managerial demand serves as an important driver of accounting system development.</w:t>
      </w:r>
    </w:p>
    <w:p w14:paraId="21D0A58C"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Style w:val="Strong"/>
          <w:rFonts w:ascii="Times New Roman" w:hAnsi="Times New Roman" w:cs="Times New Roman"/>
          <w:color w:val="000000" w:themeColor="text1"/>
          <w:szCs w:val="26"/>
        </w:rPr>
        <w:t>Financial Resources for Investment (M_NTCDT)</w:t>
      </w:r>
      <w:r w:rsidRPr="002E5414">
        <w:rPr>
          <w:rFonts w:ascii="Times New Roman" w:hAnsi="Times New Roman" w:cs="Times New Roman"/>
          <w:color w:val="000000" w:themeColor="text1"/>
          <w:szCs w:val="26"/>
        </w:rPr>
        <w:t xml:space="preserve"> represent the most influential determinant in the model, with the largest standardized coefficient (β = 0.370; t = 7.877; p = 0.000). This result indicates that financial capacity plays a pivotal role in shaping accounting organization within public hospitals in the Mekong Delta region. Adequate financial resources enable hospitals to invest in modern accounting infrastructure, including accounting software, servers, internal networks, electronic document management systems, and digital data storage platforms. The finding reinforces the argument that sustainable financial resources constitute a prerequisite for the successful modernization of accounting systems.</w:t>
      </w:r>
    </w:p>
    <w:p w14:paraId="5C6BB776"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 xml:space="preserve">In contrast, the </w:t>
      </w:r>
      <w:r w:rsidRPr="002E5414">
        <w:rPr>
          <w:rStyle w:val="Strong"/>
          <w:rFonts w:ascii="Times New Roman" w:hAnsi="Times New Roman" w:cs="Times New Roman"/>
          <w:color w:val="000000" w:themeColor="text1"/>
          <w:szCs w:val="26"/>
        </w:rPr>
        <w:t>Budget Preparation Process (M_QTLDT)</w:t>
      </w:r>
      <w:r w:rsidRPr="002E5414">
        <w:rPr>
          <w:rFonts w:ascii="Times New Roman" w:hAnsi="Times New Roman" w:cs="Times New Roman"/>
          <w:color w:val="000000" w:themeColor="text1"/>
          <w:szCs w:val="26"/>
        </w:rPr>
        <w:t xml:space="preserve"> does not exhibit a statistically significant relationship with accounting organization (β = 0.054; t = 1.293; p = 0.197), despite its positive coefficient. This result may reflect the fact that budgeting </w:t>
      </w:r>
      <w:r w:rsidRPr="002E5414">
        <w:rPr>
          <w:rFonts w:ascii="Times New Roman" w:hAnsi="Times New Roman" w:cs="Times New Roman"/>
          <w:color w:val="000000" w:themeColor="text1"/>
          <w:szCs w:val="26"/>
        </w:rPr>
        <w:lastRenderedPageBreak/>
        <w:t>practices in many hospitals remain largely procedural and compliance-oriented. Budget preparation often lacks effective coordination among departments, is not sufficiently supported by operational data, and remains weakly linked to management accounting functions. The finding highlights the need to professionalize budgeting practices by strengthening their integration with accounting information systems and adopting cost-benefit analysis and other managerial planning tools to improve financial planning effectiveness.</w:t>
      </w:r>
    </w:p>
    <w:p w14:paraId="2B6A0E46" w14:textId="77777777" w:rsidR="00886A6B" w:rsidRPr="002E5414" w:rsidRDefault="00886A6B" w:rsidP="002A3C38">
      <w:pPr>
        <w:spacing w:line="380" w:lineRule="exact"/>
        <w:ind w:firstLine="567"/>
        <w:jc w:val="both"/>
        <w:rPr>
          <w:rFonts w:ascii="Times New Roman" w:hAnsi="Times New Roman" w:cs="Times New Roman"/>
          <w:i/>
          <w:iCs/>
          <w:color w:val="000000" w:themeColor="text1"/>
          <w:szCs w:val="26"/>
        </w:rPr>
      </w:pPr>
      <w:r w:rsidRPr="002E5414">
        <w:rPr>
          <w:rFonts w:ascii="Times New Roman" w:hAnsi="Times New Roman" w:cs="Times New Roman"/>
          <w:i/>
          <w:iCs/>
          <w:color w:val="000000" w:themeColor="text1"/>
          <w:szCs w:val="26"/>
        </w:rPr>
        <w:t>Summary of Empirical Findings</w:t>
      </w:r>
    </w:p>
    <w:p w14:paraId="76FA40B1" w14:textId="77777777"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Overall, the multivariate regression analysis demonstrates that the organization of accounting practices in public hospitals in the Mekong Delta region is influenced by a combination of human, financial, technological, and institutional factors. Among these determinants, financial resources for investment, accounting personnel competency, and risk management systems emerge as the three most influential drivers of effective accounting organization.</w:t>
      </w:r>
    </w:p>
    <w:p w14:paraId="3AA16992" w14:textId="70A7F8A2" w:rsidR="00886A6B" w:rsidRPr="002E5414" w:rsidRDefault="00886A6B" w:rsidP="002A3C38">
      <w:pPr>
        <w:spacing w:line="380" w:lineRule="exact"/>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These findings not only provide empirical support for the theoretical framework developed in the dissertation but also offer important evidence for policymakers and healthcare administrators in designing accounting reforms and strengthening public financial management within the healthcare sector. The results underscore the importance of investing in human capital, technological infrastructure, and governance mechanisms to enhance accounting effectiveness, transparency, accountability, and financial sustainability in public hospitals.</w:t>
      </w:r>
    </w:p>
    <w:p w14:paraId="5D5BE2B9" w14:textId="50B747F6" w:rsidR="00886A6B" w:rsidRPr="002E5414" w:rsidRDefault="00886A6B" w:rsidP="00886A6B">
      <w:pPr>
        <w:spacing w:line="360" w:lineRule="auto"/>
        <w:jc w:val="both"/>
        <w:rPr>
          <w:rFonts w:ascii="Times New Roman" w:hAnsi="Times New Roman" w:cs="Times New Roman"/>
          <w:b/>
          <w:color w:val="000000" w:themeColor="text1"/>
          <w:szCs w:val="26"/>
        </w:rPr>
      </w:pPr>
      <w:r w:rsidRPr="002E5414">
        <w:rPr>
          <w:rFonts w:ascii="Times New Roman" w:hAnsi="Times New Roman" w:cs="Times New Roman"/>
          <w:b/>
          <w:color w:val="000000" w:themeColor="text1"/>
          <w:szCs w:val="26"/>
        </w:rPr>
        <w:t>Table 2.3. Regression results for factors influencing the organization of accounting practices</w:t>
      </w:r>
    </w:p>
    <w:tbl>
      <w:tblPr>
        <w:tblW w:w="9674" w:type="dxa"/>
        <w:tblInd w:w="-5" w:type="dxa"/>
        <w:tblLook w:val="04A0" w:firstRow="1" w:lastRow="0" w:firstColumn="1" w:lastColumn="0" w:noHBand="0" w:noVBand="1"/>
      </w:tblPr>
      <w:tblGrid>
        <w:gridCol w:w="1646"/>
        <w:gridCol w:w="1362"/>
        <w:gridCol w:w="898"/>
        <w:gridCol w:w="1705"/>
        <w:gridCol w:w="898"/>
        <w:gridCol w:w="898"/>
        <w:gridCol w:w="1367"/>
        <w:gridCol w:w="900"/>
      </w:tblGrid>
      <w:tr w:rsidR="002E5414" w:rsidRPr="002E5414" w14:paraId="43932961" w14:textId="77777777" w:rsidTr="0058141E">
        <w:trPr>
          <w:trHeight w:val="148"/>
        </w:trPr>
        <w:tc>
          <w:tcPr>
            <w:tcW w:w="96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5C77F"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b/>
                <w:bCs/>
                <w:color w:val="000000" w:themeColor="text1"/>
              </w:rPr>
              <w:t>Dependent Variable:</w:t>
            </w:r>
            <w:r w:rsidRPr="002E5414">
              <w:rPr>
                <w:rFonts w:ascii="Times New Roman" w:hAnsi="Times New Roman" w:cs="Times New Roman"/>
                <w:color w:val="000000" w:themeColor="text1"/>
              </w:rPr>
              <w:t xml:space="preserve"> Accounting Organization (M_TCCTKT)</w:t>
            </w:r>
          </w:p>
        </w:tc>
      </w:tr>
      <w:tr w:rsidR="002E5414" w:rsidRPr="002E5414" w14:paraId="3B722A43" w14:textId="77777777" w:rsidTr="0058141E">
        <w:trPr>
          <w:trHeight w:val="594"/>
        </w:trPr>
        <w:tc>
          <w:tcPr>
            <w:tcW w:w="1454" w:type="dxa"/>
            <w:vMerge w:val="restart"/>
            <w:tcBorders>
              <w:top w:val="nil"/>
              <w:left w:val="single" w:sz="4" w:space="0" w:color="auto"/>
              <w:right w:val="single" w:sz="4" w:space="0" w:color="auto"/>
            </w:tcBorders>
            <w:shd w:val="clear" w:color="auto" w:fill="auto"/>
            <w:vAlign w:val="center"/>
            <w:hideMark/>
          </w:tcPr>
          <w:p w14:paraId="7FA74AB2"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Variables</w:t>
            </w:r>
          </w:p>
          <w:p w14:paraId="4FE99469" w14:textId="77777777" w:rsidR="00886A6B" w:rsidRPr="002E5414" w:rsidRDefault="00886A6B" w:rsidP="0058141E">
            <w:pPr>
              <w:rPr>
                <w:rFonts w:ascii="Times New Roman" w:hAnsi="Times New Roman" w:cs="Times New Roman"/>
                <w:b/>
                <w:bCs/>
                <w:color w:val="000000" w:themeColor="text1"/>
              </w:rPr>
            </w:pPr>
            <w:r w:rsidRPr="002E5414">
              <w:rPr>
                <w:rFonts w:ascii="Times New Roman" w:hAnsi="Times New Roman" w:cs="Times New Roman"/>
                <w:color w:val="000000" w:themeColor="text1"/>
              </w:rPr>
              <w:t> </w:t>
            </w:r>
          </w:p>
        </w:tc>
        <w:tc>
          <w:tcPr>
            <w:tcW w:w="2652" w:type="dxa"/>
            <w:gridSpan w:val="2"/>
            <w:tcBorders>
              <w:top w:val="nil"/>
              <w:left w:val="nil"/>
              <w:bottom w:val="single" w:sz="4" w:space="0" w:color="auto"/>
              <w:right w:val="single" w:sz="4" w:space="0" w:color="auto"/>
            </w:tcBorders>
            <w:shd w:val="clear" w:color="auto" w:fill="auto"/>
            <w:vAlign w:val="center"/>
            <w:hideMark/>
          </w:tcPr>
          <w:p w14:paraId="4EEF62D3"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Unstandardized Coefficients</w:t>
            </w:r>
          </w:p>
        </w:tc>
        <w:tc>
          <w:tcPr>
            <w:tcW w:w="1505" w:type="dxa"/>
            <w:tcBorders>
              <w:top w:val="nil"/>
              <w:left w:val="nil"/>
              <w:bottom w:val="single" w:sz="4" w:space="0" w:color="auto"/>
              <w:right w:val="single" w:sz="4" w:space="0" w:color="auto"/>
            </w:tcBorders>
            <w:shd w:val="clear" w:color="auto" w:fill="auto"/>
            <w:vAlign w:val="center"/>
            <w:hideMark/>
          </w:tcPr>
          <w:p w14:paraId="50AF1AF5"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Standardized Coefficients</w:t>
            </w:r>
          </w:p>
        </w:tc>
        <w:tc>
          <w:tcPr>
            <w:tcW w:w="898" w:type="dxa"/>
            <w:vMerge w:val="restart"/>
            <w:tcBorders>
              <w:top w:val="nil"/>
              <w:left w:val="nil"/>
              <w:right w:val="single" w:sz="4" w:space="0" w:color="auto"/>
            </w:tcBorders>
            <w:shd w:val="clear" w:color="auto" w:fill="auto"/>
            <w:vAlign w:val="center"/>
            <w:hideMark/>
          </w:tcPr>
          <w:p w14:paraId="68AA0ED4"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t-value</w:t>
            </w:r>
          </w:p>
        </w:tc>
        <w:tc>
          <w:tcPr>
            <w:tcW w:w="898" w:type="dxa"/>
            <w:vMerge w:val="restart"/>
            <w:tcBorders>
              <w:top w:val="nil"/>
              <w:left w:val="nil"/>
              <w:right w:val="single" w:sz="4" w:space="0" w:color="auto"/>
            </w:tcBorders>
            <w:shd w:val="clear" w:color="auto" w:fill="auto"/>
            <w:vAlign w:val="center"/>
            <w:hideMark/>
          </w:tcPr>
          <w:p w14:paraId="5F07D572"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Sig.</w:t>
            </w:r>
          </w:p>
        </w:tc>
        <w:tc>
          <w:tcPr>
            <w:tcW w:w="2267" w:type="dxa"/>
            <w:gridSpan w:val="2"/>
            <w:tcBorders>
              <w:top w:val="nil"/>
              <w:left w:val="nil"/>
              <w:bottom w:val="single" w:sz="4" w:space="0" w:color="auto"/>
              <w:right w:val="single" w:sz="4" w:space="0" w:color="auto"/>
            </w:tcBorders>
            <w:shd w:val="clear" w:color="auto" w:fill="auto"/>
            <w:vAlign w:val="center"/>
            <w:hideMark/>
          </w:tcPr>
          <w:p w14:paraId="4A946EF9" w14:textId="77777777" w:rsidR="00886A6B" w:rsidRPr="002E5414" w:rsidRDefault="00886A6B" w:rsidP="0058141E">
            <w:pPr>
              <w:jc w:val="center"/>
              <w:rPr>
                <w:rFonts w:ascii="Times New Roman" w:hAnsi="Times New Roman" w:cs="Times New Roman"/>
                <w:b/>
                <w:bCs/>
                <w:color w:val="000000" w:themeColor="text1"/>
              </w:rPr>
            </w:pPr>
            <w:r w:rsidRPr="002E5414">
              <w:rPr>
                <w:rFonts w:ascii="Times New Roman" w:hAnsi="Times New Roman" w:cs="Times New Roman"/>
                <w:b/>
                <w:bCs/>
                <w:color w:val="000000" w:themeColor="text1"/>
              </w:rPr>
              <w:t>Collinearity Statistics</w:t>
            </w:r>
          </w:p>
        </w:tc>
      </w:tr>
      <w:tr w:rsidR="002E5414" w:rsidRPr="002E5414" w14:paraId="217D54E3" w14:textId="77777777" w:rsidTr="0058141E">
        <w:trPr>
          <w:trHeight w:val="297"/>
        </w:trPr>
        <w:tc>
          <w:tcPr>
            <w:tcW w:w="1454" w:type="dxa"/>
            <w:vMerge/>
            <w:tcBorders>
              <w:left w:val="single" w:sz="4" w:space="0" w:color="auto"/>
              <w:bottom w:val="single" w:sz="4" w:space="0" w:color="auto"/>
              <w:right w:val="single" w:sz="4" w:space="0" w:color="auto"/>
            </w:tcBorders>
            <w:shd w:val="clear" w:color="auto" w:fill="auto"/>
            <w:vAlign w:val="center"/>
            <w:hideMark/>
          </w:tcPr>
          <w:p w14:paraId="25CC2415" w14:textId="77777777" w:rsidR="00886A6B" w:rsidRPr="002E5414" w:rsidRDefault="00886A6B" w:rsidP="0058141E">
            <w:pPr>
              <w:rPr>
                <w:rFonts w:ascii="Times New Roman" w:hAnsi="Times New Roman" w:cs="Times New Roman"/>
                <w:color w:val="000000" w:themeColor="text1"/>
              </w:rPr>
            </w:pPr>
          </w:p>
        </w:tc>
        <w:tc>
          <w:tcPr>
            <w:tcW w:w="1754" w:type="dxa"/>
            <w:tcBorders>
              <w:top w:val="nil"/>
              <w:left w:val="nil"/>
              <w:bottom w:val="single" w:sz="4" w:space="0" w:color="auto"/>
              <w:right w:val="single" w:sz="4" w:space="0" w:color="auto"/>
            </w:tcBorders>
            <w:shd w:val="clear" w:color="auto" w:fill="auto"/>
            <w:vAlign w:val="center"/>
            <w:hideMark/>
          </w:tcPr>
          <w:p w14:paraId="23910802" w14:textId="77777777" w:rsidR="00886A6B" w:rsidRPr="002E5414" w:rsidRDefault="00886A6B" w:rsidP="0058141E">
            <w:pPr>
              <w:jc w:val="center"/>
              <w:rPr>
                <w:rFonts w:ascii="Times New Roman" w:hAnsi="Times New Roman" w:cs="Times New Roman"/>
                <w:color w:val="000000" w:themeColor="text1"/>
              </w:rPr>
            </w:pPr>
            <w:r w:rsidRPr="002E5414">
              <w:rPr>
                <w:rFonts w:ascii="Times New Roman" w:hAnsi="Times New Roman" w:cs="Times New Roman"/>
                <w:color w:val="000000" w:themeColor="text1"/>
              </w:rPr>
              <w:t>B</w:t>
            </w:r>
          </w:p>
        </w:tc>
        <w:tc>
          <w:tcPr>
            <w:tcW w:w="898" w:type="dxa"/>
            <w:tcBorders>
              <w:top w:val="nil"/>
              <w:left w:val="nil"/>
              <w:bottom w:val="single" w:sz="4" w:space="0" w:color="auto"/>
              <w:right w:val="single" w:sz="4" w:space="0" w:color="auto"/>
            </w:tcBorders>
            <w:shd w:val="clear" w:color="auto" w:fill="auto"/>
            <w:vAlign w:val="center"/>
            <w:hideMark/>
          </w:tcPr>
          <w:p w14:paraId="0DECE80E" w14:textId="77777777" w:rsidR="00886A6B" w:rsidRPr="002E5414" w:rsidRDefault="00886A6B" w:rsidP="0058141E">
            <w:pPr>
              <w:jc w:val="center"/>
              <w:rPr>
                <w:rFonts w:ascii="Times New Roman" w:hAnsi="Times New Roman" w:cs="Times New Roman"/>
                <w:color w:val="000000" w:themeColor="text1"/>
              </w:rPr>
            </w:pPr>
            <w:r w:rsidRPr="002E5414">
              <w:rPr>
                <w:rFonts w:ascii="Times New Roman" w:hAnsi="Times New Roman" w:cs="Times New Roman"/>
                <w:color w:val="000000" w:themeColor="text1"/>
              </w:rPr>
              <w:t>Std. Error</w:t>
            </w:r>
          </w:p>
        </w:tc>
        <w:tc>
          <w:tcPr>
            <w:tcW w:w="1505" w:type="dxa"/>
            <w:tcBorders>
              <w:top w:val="nil"/>
              <w:left w:val="nil"/>
              <w:bottom w:val="single" w:sz="4" w:space="0" w:color="auto"/>
              <w:right w:val="single" w:sz="4" w:space="0" w:color="auto"/>
            </w:tcBorders>
            <w:shd w:val="clear" w:color="auto" w:fill="auto"/>
            <w:vAlign w:val="center"/>
            <w:hideMark/>
          </w:tcPr>
          <w:p w14:paraId="548F24D2" w14:textId="77777777" w:rsidR="00886A6B" w:rsidRPr="002E5414" w:rsidRDefault="00886A6B" w:rsidP="0058141E">
            <w:pPr>
              <w:jc w:val="center"/>
              <w:rPr>
                <w:rFonts w:ascii="Times New Roman" w:hAnsi="Times New Roman" w:cs="Times New Roman"/>
                <w:color w:val="000000" w:themeColor="text1"/>
              </w:rPr>
            </w:pPr>
            <w:r w:rsidRPr="002E5414">
              <w:rPr>
                <w:rFonts w:ascii="Times New Roman" w:hAnsi="Times New Roman" w:cs="Times New Roman"/>
                <w:color w:val="000000" w:themeColor="text1"/>
              </w:rPr>
              <w:t>Beta</w:t>
            </w:r>
          </w:p>
        </w:tc>
        <w:tc>
          <w:tcPr>
            <w:tcW w:w="898" w:type="dxa"/>
            <w:vMerge/>
            <w:tcBorders>
              <w:left w:val="nil"/>
              <w:bottom w:val="single" w:sz="4" w:space="0" w:color="auto"/>
              <w:right w:val="single" w:sz="4" w:space="0" w:color="auto"/>
            </w:tcBorders>
            <w:shd w:val="clear" w:color="auto" w:fill="auto"/>
            <w:vAlign w:val="center"/>
            <w:hideMark/>
          </w:tcPr>
          <w:p w14:paraId="12846DEC" w14:textId="77777777" w:rsidR="00886A6B" w:rsidRPr="002E5414" w:rsidRDefault="00886A6B" w:rsidP="0058141E">
            <w:pPr>
              <w:jc w:val="center"/>
              <w:rPr>
                <w:rFonts w:ascii="Times New Roman" w:hAnsi="Times New Roman" w:cs="Times New Roman"/>
                <w:color w:val="000000" w:themeColor="text1"/>
              </w:rPr>
            </w:pPr>
          </w:p>
        </w:tc>
        <w:tc>
          <w:tcPr>
            <w:tcW w:w="898" w:type="dxa"/>
            <w:vMerge/>
            <w:tcBorders>
              <w:left w:val="nil"/>
              <w:bottom w:val="single" w:sz="4" w:space="0" w:color="auto"/>
              <w:right w:val="single" w:sz="4" w:space="0" w:color="auto"/>
            </w:tcBorders>
            <w:shd w:val="clear" w:color="auto" w:fill="auto"/>
            <w:vAlign w:val="center"/>
            <w:hideMark/>
          </w:tcPr>
          <w:p w14:paraId="7D79C435" w14:textId="77777777" w:rsidR="00886A6B" w:rsidRPr="002E5414" w:rsidRDefault="00886A6B" w:rsidP="0058141E">
            <w:pPr>
              <w:jc w:val="center"/>
              <w:rPr>
                <w:rFonts w:ascii="Times New Roman" w:hAnsi="Times New Roman" w:cs="Times New Roman"/>
                <w:color w:val="000000" w:themeColor="text1"/>
              </w:rPr>
            </w:pPr>
          </w:p>
        </w:tc>
        <w:tc>
          <w:tcPr>
            <w:tcW w:w="1367" w:type="dxa"/>
            <w:tcBorders>
              <w:top w:val="nil"/>
              <w:left w:val="nil"/>
              <w:bottom w:val="single" w:sz="4" w:space="0" w:color="auto"/>
              <w:right w:val="single" w:sz="4" w:space="0" w:color="auto"/>
            </w:tcBorders>
            <w:shd w:val="clear" w:color="auto" w:fill="auto"/>
            <w:vAlign w:val="center"/>
            <w:hideMark/>
          </w:tcPr>
          <w:p w14:paraId="43691E6A" w14:textId="77777777" w:rsidR="00886A6B" w:rsidRPr="002E5414" w:rsidRDefault="00886A6B" w:rsidP="0058141E">
            <w:pPr>
              <w:jc w:val="center"/>
              <w:rPr>
                <w:rFonts w:ascii="Times New Roman" w:hAnsi="Times New Roman" w:cs="Times New Roman"/>
                <w:color w:val="000000" w:themeColor="text1"/>
              </w:rPr>
            </w:pPr>
            <w:r w:rsidRPr="002E5414">
              <w:rPr>
                <w:rFonts w:ascii="Times New Roman" w:hAnsi="Times New Roman" w:cs="Times New Roman"/>
                <w:color w:val="000000" w:themeColor="text1"/>
              </w:rPr>
              <w:t>Tolerance</w:t>
            </w:r>
          </w:p>
        </w:tc>
        <w:tc>
          <w:tcPr>
            <w:tcW w:w="900" w:type="dxa"/>
            <w:tcBorders>
              <w:top w:val="nil"/>
              <w:left w:val="nil"/>
              <w:bottom w:val="single" w:sz="4" w:space="0" w:color="auto"/>
              <w:right w:val="single" w:sz="4" w:space="0" w:color="auto"/>
            </w:tcBorders>
            <w:shd w:val="clear" w:color="auto" w:fill="auto"/>
            <w:vAlign w:val="center"/>
            <w:hideMark/>
          </w:tcPr>
          <w:p w14:paraId="32C09769" w14:textId="77777777" w:rsidR="00886A6B" w:rsidRPr="002E5414" w:rsidRDefault="00886A6B" w:rsidP="0058141E">
            <w:pPr>
              <w:jc w:val="center"/>
              <w:rPr>
                <w:rFonts w:ascii="Times New Roman" w:hAnsi="Times New Roman" w:cs="Times New Roman"/>
                <w:color w:val="000000" w:themeColor="text1"/>
              </w:rPr>
            </w:pPr>
            <w:r w:rsidRPr="002E5414">
              <w:rPr>
                <w:rFonts w:ascii="Times New Roman" w:hAnsi="Times New Roman" w:cs="Times New Roman"/>
                <w:color w:val="000000" w:themeColor="text1"/>
              </w:rPr>
              <w:t>VIF</w:t>
            </w:r>
          </w:p>
        </w:tc>
      </w:tr>
      <w:tr w:rsidR="002E5414" w:rsidRPr="002E5414" w14:paraId="78B5F35A" w14:textId="77777777" w:rsidTr="0058141E">
        <w:trPr>
          <w:trHeight w:val="297"/>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602E55B7"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(Constant)</w:t>
            </w:r>
          </w:p>
        </w:tc>
        <w:tc>
          <w:tcPr>
            <w:tcW w:w="1754" w:type="dxa"/>
            <w:tcBorders>
              <w:top w:val="nil"/>
              <w:left w:val="nil"/>
              <w:bottom w:val="single" w:sz="4" w:space="0" w:color="auto"/>
              <w:right w:val="single" w:sz="4" w:space="0" w:color="auto"/>
            </w:tcBorders>
            <w:shd w:val="clear" w:color="auto" w:fill="auto"/>
            <w:vAlign w:val="center"/>
            <w:hideMark/>
          </w:tcPr>
          <w:p w14:paraId="6C9B31B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0.421</w:t>
            </w:r>
          </w:p>
        </w:tc>
        <w:tc>
          <w:tcPr>
            <w:tcW w:w="898" w:type="dxa"/>
            <w:tcBorders>
              <w:top w:val="nil"/>
              <w:left w:val="nil"/>
              <w:bottom w:val="single" w:sz="4" w:space="0" w:color="auto"/>
              <w:right w:val="single" w:sz="4" w:space="0" w:color="auto"/>
            </w:tcBorders>
            <w:shd w:val="clear" w:color="auto" w:fill="auto"/>
            <w:vAlign w:val="center"/>
            <w:hideMark/>
          </w:tcPr>
          <w:p w14:paraId="18CFD47D"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0.177</w:t>
            </w:r>
          </w:p>
        </w:tc>
        <w:tc>
          <w:tcPr>
            <w:tcW w:w="1505" w:type="dxa"/>
            <w:tcBorders>
              <w:top w:val="nil"/>
              <w:left w:val="nil"/>
              <w:bottom w:val="single" w:sz="4" w:space="0" w:color="auto"/>
              <w:right w:val="single" w:sz="4" w:space="0" w:color="auto"/>
            </w:tcBorders>
            <w:shd w:val="clear" w:color="auto" w:fill="auto"/>
            <w:vAlign w:val="center"/>
            <w:hideMark/>
          </w:tcPr>
          <w:p w14:paraId="78177521"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w:t>
            </w:r>
          </w:p>
        </w:tc>
        <w:tc>
          <w:tcPr>
            <w:tcW w:w="898" w:type="dxa"/>
            <w:tcBorders>
              <w:top w:val="nil"/>
              <w:left w:val="nil"/>
              <w:bottom w:val="single" w:sz="4" w:space="0" w:color="auto"/>
              <w:right w:val="single" w:sz="4" w:space="0" w:color="auto"/>
            </w:tcBorders>
            <w:shd w:val="clear" w:color="auto" w:fill="auto"/>
            <w:vAlign w:val="center"/>
            <w:hideMark/>
          </w:tcPr>
          <w:p w14:paraId="36F57C4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2.385</w:t>
            </w:r>
          </w:p>
        </w:tc>
        <w:tc>
          <w:tcPr>
            <w:tcW w:w="898" w:type="dxa"/>
            <w:tcBorders>
              <w:top w:val="nil"/>
              <w:left w:val="nil"/>
              <w:bottom w:val="single" w:sz="4" w:space="0" w:color="auto"/>
              <w:right w:val="single" w:sz="4" w:space="0" w:color="auto"/>
            </w:tcBorders>
            <w:shd w:val="clear" w:color="auto" w:fill="auto"/>
            <w:vAlign w:val="center"/>
            <w:hideMark/>
          </w:tcPr>
          <w:p w14:paraId="02ACC0D4"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0.018</w:t>
            </w:r>
          </w:p>
        </w:tc>
        <w:tc>
          <w:tcPr>
            <w:tcW w:w="1367" w:type="dxa"/>
            <w:tcBorders>
              <w:top w:val="nil"/>
              <w:left w:val="nil"/>
              <w:bottom w:val="single" w:sz="4" w:space="0" w:color="auto"/>
              <w:right w:val="single" w:sz="4" w:space="0" w:color="auto"/>
            </w:tcBorders>
            <w:shd w:val="clear" w:color="auto" w:fill="auto"/>
            <w:vAlign w:val="center"/>
            <w:hideMark/>
          </w:tcPr>
          <w:p w14:paraId="386E381E"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w:t>
            </w:r>
          </w:p>
        </w:tc>
        <w:tc>
          <w:tcPr>
            <w:tcW w:w="900" w:type="dxa"/>
            <w:tcBorders>
              <w:top w:val="nil"/>
              <w:left w:val="nil"/>
              <w:bottom w:val="single" w:sz="4" w:space="0" w:color="auto"/>
              <w:right w:val="single" w:sz="4" w:space="0" w:color="auto"/>
            </w:tcBorders>
            <w:shd w:val="clear" w:color="auto" w:fill="auto"/>
            <w:vAlign w:val="center"/>
            <w:hideMark/>
          </w:tcPr>
          <w:p w14:paraId="776BAC17"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w:t>
            </w:r>
          </w:p>
        </w:tc>
      </w:tr>
      <w:tr w:rsidR="002E5414" w:rsidRPr="002E5414" w14:paraId="7FBE7A00" w14:textId="77777777" w:rsidTr="0058141E">
        <w:trPr>
          <w:trHeight w:val="297"/>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7745AD6B"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M_NLNVKT</w:t>
            </w:r>
          </w:p>
        </w:tc>
        <w:tc>
          <w:tcPr>
            <w:tcW w:w="1754" w:type="dxa"/>
            <w:tcBorders>
              <w:top w:val="nil"/>
              <w:left w:val="nil"/>
              <w:bottom w:val="single" w:sz="4" w:space="0" w:color="auto"/>
              <w:right w:val="single" w:sz="4" w:space="0" w:color="auto"/>
            </w:tcBorders>
            <w:shd w:val="clear" w:color="auto" w:fill="auto"/>
            <w:vAlign w:val="center"/>
            <w:hideMark/>
          </w:tcPr>
          <w:p w14:paraId="471AC719"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0.11</w:t>
            </w:r>
          </w:p>
        </w:tc>
        <w:tc>
          <w:tcPr>
            <w:tcW w:w="898" w:type="dxa"/>
            <w:tcBorders>
              <w:top w:val="nil"/>
              <w:left w:val="nil"/>
              <w:bottom w:val="single" w:sz="4" w:space="0" w:color="auto"/>
              <w:right w:val="single" w:sz="4" w:space="0" w:color="auto"/>
            </w:tcBorders>
            <w:shd w:val="clear" w:color="auto" w:fill="auto"/>
            <w:vAlign w:val="center"/>
            <w:hideMark/>
          </w:tcPr>
          <w:p w14:paraId="6954F334"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0.015</w:t>
            </w:r>
          </w:p>
        </w:tc>
        <w:tc>
          <w:tcPr>
            <w:tcW w:w="1505" w:type="dxa"/>
            <w:tcBorders>
              <w:top w:val="nil"/>
              <w:left w:val="nil"/>
              <w:bottom w:val="single" w:sz="4" w:space="0" w:color="auto"/>
              <w:right w:val="single" w:sz="4" w:space="0" w:color="auto"/>
            </w:tcBorders>
            <w:shd w:val="clear" w:color="auto" w:fill="auto"/>
            <w:vAlign w:val="center"/>
            <w:hideMark/>
          </w:tcPr>
          <w:p w14:paraId="7B030C0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0.237</w:t>
            </w:r>
          </w:p>
        </w:tc>
        <w:tc>
          <w:tcPr>
            <w:tcW w:w="898" w:type="dxa"/>
            <w:tcBorders>
              <w:top w:val="nil"/>
              <w:left w:val="nil"/>
              <w:bottom w:val="single" w:sz="4" w:space="0" w:color="auto"/>
              <w:right w:val="single" w:sz="4" w:space="0" w:color="auto"/>
            </w:tcBorders>
            <w:shd w:val="clear" w:color="auto" w:fill="auto"/>
            <w:vAlign w:val="center"/>
            <w:hideMark/>
          </w:tcPr>
          <w:p w14:paraId="3EF11EDE"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7.135</w:t>
            </w:r>
          </w:p>
        </w:tc>
        <w:tc>
          <w:tcPr>
            <w:tcW w:w="898" w:type="dxa"/>
            <w:tcBorders>
              <w:top w:val="nil"/>
              <w:left w:val="nil"/>
              <w:bottom w:val="single" w:sz="4" w:space="0" w:color="auto"/>
              <w:right w:val="single" w:sz="4" w:space="0" w:color="auto"/>
            </w:tcBorders>
            <w:shd w:val="clear" w:color="auto" w:fill="auto"/>
            <w:vAlign w:val="center"/>
            <w:hideMark/>
          </w:tcPr>
          <w:p w14:paraId="4339F8A6"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w:t>
            </w:r>
          </w:p>
        </w:tc>
        <w:tc>
          <w:tcPr>
            <w:tcW w:w="1367" w:type="dxa"/>
            <w:tcBorders>
              <w:top w:val="nil"/>
              <w:left w:val="nil"/>
              <w:bottom w:val="single" w:sz="4" w:space="0" w:color="auto"/>
              <w:right w:val="single" w:sz="4" w:space="0" w:color="auto"/>
            </w:tcBorders>
            <w:shd w:val="clear" w:color="auto" w:fill="auto"/>
            <w:vAlign w:val="center"/>
            <w:hideMark/>
          </w:tcPr>
          <w:p w14:paraId="2204D58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0.837</w:t>
            </w:r>
          </w:p>
        </w:tc>
        <w:tc>
          <w:tcPr>
            <w:tcW w:w="900" w:type="dxa"/>
            <w:tcBorders>
              <w:top w:val="nil"/>
              <w:left w:val="nil"/>
              <w:bottom w:val="single" w:sz="4" w:space="0" w:color="auto"/>
              <w:right w:val="single" w:sz="4" w:space="0" w:color="auto"/>
            </w:tcBorders>
            <w:shd w:val="clear" w:color="auto" w:fill="auto"/>
            <w:vAlign w:val="center"/>
            <w:hideMark/>
          </w:tcPr>
          <w:p w14:paraId="2E80014C"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1.194</w:t>
            </w:r>
          </w:p>
        </w:tc>
      </w:tr>
      <w:tr w:rsidR="002E5414" w:rsidRPr="002E5414" w14:paraId="725FD9E5" w14:textId="77777777" w:rsidTr="0058141E">
        <w:trPr>
          <w:trHeight w:val="297"/>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495B5772"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M_QTLDT</w:t>
            </w:r>
          </w:p>
        </w:tc>
        <w:tc>
          <w:tcPr>
            <w:tcW w:w="1754" w:type="dxa"/>
            <w:tcBorders>
              <w:top w:val="nil"/>
              <w:left w:val="nil"/>
              <w:bottom w:val="single" w:sz="4" w:space="0" w:color="auto"/>
              <w:right w:val="single" w:sz="4" w:space="0" w:color="auto"/>
            </w:tcBorders>
            <w:shd w:val="clear" w:color="auto" w:fill="auto"/>
            <w:vAlign w:val="center"/>
            <w:hideMark/>
          </w:tcPr>
          <w:p w14:paraId="50369D9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0.053</w:t>
            </w:r>
          </w:p>
        </w:tc>
        <w:tc>
          <w:tcPr>
            <w:tcW w:w="898" w:type="dxa"/>
            <w:tcBorders>
              <w:top w:val="nil"/>
              <w:left w:val="nil"/>
              <w:bottom w:val="single" w:sz="4" w:space="0" w:color="auto"/>
              <w:right w:val="single" w:sz="4" w:space="0" w:color="auto"/>
            </w:tcBorders>
            <w:shd w:val="clear" w:color="auto" w:fill="auto"/>
            <w:vAlign w:val="center"/>
            <w:hideMark/>
          </w:tcPr>
          <w:p w14:paraId="5A484FE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0.041</w:t>
            </w:r>
          </w:p>
        </w:tc>
        <w:tc>
          <w:tcPr>
            <w:tcW w:w="1505" w:type="dxa"/>
            <w:tcBorders>
              <w:top w:val="nil"/>
              <w:left w:val="nil"/>
              <w:bottom w:val="single" w:sz="4" w:space="0" w:color="auto"/>
              <w:right w:val="single" w:sz="4" w:space="0" w:color="auto"/>
            </w:tcBorders>
            <w:shd w:val="clear" w:color="auto" w:fill="auto"/>
            <w:vAlign w:val="center"/>
            <w:hideMark/>
          </w:tcPr>
          <w:p w14:paraId="232ECEB4"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0.054</w:t>
            </w:r>
          </w:p>
        </w:tc>
        <w:tc>
          <w:tcPr>
            <w:tcW w:w="898" w:type="dxa"/>
            <w:tcBorders>
              <w:top w:val="nil"/>
              <w:left w:val="nil"/>
              <w:bottom w:val="single" w:sz="4" w:space="0" w:color="auto"/>
              <w:right w:val="single" w:sz="4" w:space="0" w:color="auto"/>
            </w:tcBorders>
            <w:shd w:val="clear" w:color="auto" w:fill="auto"/>
            <w:vAlign w:val="center"/>
            <w:hideMark/>
          </w:tcPr>
          <w:p w14:paraId="55BC8B2F"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1.293</w:t>
            </w:r>
          </w:p>
        </w:tc>
        <w:tc>
          <w:tcPr>
            <w:tcW w:w="898" w:type="dxa"/>
            <w:tcBorders>
              <w:top w:val="nil"/>
              <w:left w:val="nil"/>
              <w:bottom w:val="single" w:sz="4" w:space="0" w:color="auto"/>
              <w:right w:val="single" w:sz="4" w:space="0" w:color="auto"/>
            </w:tcBorders>
            <w:shd w:val="clear" w:color="auto" w:fill="auto"/>
            <w:vAlign w:val="center"/>
            <w:hideMark/>
          </w:tcPr>
          <w:p w14:paraId="3D3461F7"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0.197</w:t>
            </w:r>
          </w:p>
        </w:tc>
        <w:tc>
          <w:tcPr>
            <w:tcW w:w="1367" w:type="dxa"/>
            <w:tcBorders>
              <w:top w:val="nil"/>
              <w:left w:val="nil"/>
              <w:bottom w:val="single" w:sz="4" w:space="0" w:color="auto"/>
              <w:right w:val="single" w:sz="4" w:space="0" w:color="auto"/>
            </w:tcBorders>
            <w:shd w:val="clear" w:color="auto" w:fill="auto"/>
            <w:vAlign w:val="center"/>
            <w:hideMark/>
          </w:tcPr>
          <w:p w14:paraId="1D9F1D0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0.524</w:t>
            </w:r>
          </w:p>
        </w:tc>
        <w:tc>
          <w:tcPr>
            <w:tcW w:w="900" w:type="dxa"/>
            <w:tcBorders>
              <w:top w:val="nil"/>
              <w:left w:val="nil"/>
              <w:bottom w:val="single" w:sz="4" w:space="0" w:color="auto"/>
              <w:right w:val="single" w:sz="4" w:space="0" w:color="auto"/>
            </w:tcBorders>
            <w:shd w:val="clear" w:color="auto" w:fill="auto"/>
            <w:vAlign w:val="center"/>
            <w:hideMark/>
          </w:tcPr>
          <w:p w14:paraId="7C2A0071"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1.908</w:t>
            </w:r>
          </w:p>
        </w:tc>
      </w:tr>
      <w:tr w:rsidR="002E5414" w:rsidRPr="002E5414" w14:paraId="5613F1A0" w14:textId="77777777" w:rsidTr="0058141E">
        <w:trPr>
          <w:trHeight w:val="148"/>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6237274B"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M_QLRR</w:t>
            </w:r>
          </w:p>
        </w:tc>
        <w:tc>
          <w:tcPr>
            <w:tcW w:w="1754" w:type="dxa"/>
            <w:tcBorders>
              <w:top w:val="nil"/>
              <w:left w:val="nil"/>
              <w:bottom w:val="single" w:sz="4" w:space="0" w:color="auto"/>
              <w:right w:val="single" w:sz="4" w:space="0" w:color="auto"/>
            </w:tcBorders>
            <w:shd w:val="clear" w:color="auto" w:fill="auto"/>
            <w:vAlign w:val="center"/>
            <w:hideMark/>
          </w:tcPr>
          <w:p w14:paraId="78EB40E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0.222</w:t>
            </w:r>
          </w:p>
        </w:tc>
        <w:tc>
          <w:tcPr>
            <w:tcW w:w="898" w:type="dxa"/>
            <w:tcBorders>
              <w:top w:val="nil"/>
              <w:left w:val="nil"/>
              <w:bottom w:val="single" w:sz="4" w:space="0" w:color="auto"/>
              <w:right w:val="single" w:sz="4" w:space="0" w:color="auto"/>
            </w:tcBorders>
            <w:shd w:val="clear" w:color="auto" w:fill="auto"/>
            <w:vAlign w:val="center"/>
            <w:hideMark/>
          </w:tcPr>
          <w:p w14:paraId="742519B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0.04</w:t>
            </w:r>
          </w:p>
        </w:tc>
        <w:tc>
          <w:tcPr>
            <w:tcW w:w="1505" w:type="dxa"/>
            <w:tcBorders>
              <w:top w:val="nil"/>
              <w:left w:val="nil"/>
              <w:bottom w:val="single" w:sz="4" w:space="0" w:color="auto"/>
              <w:right w:val="single" w:sz="4" w:space="0" w:color="auto"/>
            </w:tcBorders>
            <w:shd w:val="clear" w:color="auto" w:fill="auto"/>
            <w:vAlign w:val="center"/>
            <w:hideMark/>
          </w:tcPr>
          <w:p w14:paraId="4E59100C"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0.239</w:t>
            </w:r>
          </w:p>
        </w:tc>
        <w:tc>
          <w:tcPr>
            <w:tcW w:w="898" w:type="dxa"/>
            <w:tcBorders>
              <w:top w:val="nil"/>
              <w:left w:val="nil"/>
              <w:bottom w:val="single" w:sz="4" w:space="0" w:color="auto"/>
              <w:right w:val="single" w:sz="4" w:space="0" w:color="auto"/>
            </w:tcBorders>
            <w:shd w:val="clear" w:color="auto" w:fill="auto"/>
            <w:vAlign w:val="center"/>
            <w:hideMark/>
          </w:tcPr>
          <w:p w14:paraId="49C9729A"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5.548</w:t>
            </w:r>
          </w:p>
        </w:tc>
        <w:tc>
          <w:tcPr>
            <w:tcW w:w="898" w:type="dxa"/>
            <w:tcBorders>
              <w:top w:val="nil"/>
              <w:left w:val="nil"/>
              <w:bottom w:val="single" w:sz="4" w:space="0" w:color="auto"/>
              <w:right w:val="single" w:sz="4" w:space="0" w:color="auto"/>
            </w:tcBorders>
            <w:shd w:val="clear" w:color="auto" w:fill="auto"/>
            <w:vAlign w:val="center"/>
            <w:hideMark/>
          </w:tcPr>
          <w:p w14:paraId="503E5A68"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w:t>
            </w:r>
          </w:p>
        </w:tc>
        <w:tc>
          <w:tcPr>
            <w:tcW w:w="1367" w:type="dxa"/>
            <w:tcBorders>
              <w:top w:val="nil"/>
              <w:left w:val="nil"/>
              <w:bottom w:val="single" w:sz="4" w:space="0" w:color="auto"/>
              <w:right w:val="single" w:sz="4" w:space="0" w:color="auto"/>
            </w:tcBorders>
            <w:shd w:val="clear" w:color="auto" w:fill="auto"/>
            <w:vAlign w:val="center"/>
            <w:hideMark/>
          </w:tcPr>
          <w:p w14:paraId="031F272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0.496</w:t>
            </w:r>
          </w:p>
        </w:tc>
        <w:tc>
          <w:tcPr>
            <w:tcW w:w="900" w:type="dxa"/>
            <w:tcBorders>
              <w:top w:val="nil"/>
              <w:left w:val="nil"/>
              <w:bottom w:val="single" w:sz="4" w:space="0" w:color="auto"/>
              <w:right w:val="single" w:sz="4" w:space="0" w:color="auto"/>
            </w:tcBorders>
            <w:shd w:val="clear" w:color="auto" w:fill="auto"/>
            <w:vAlign w:val="center"/>
            <w:hideMark/>
          </w:tcPr>
          <w:p w14:paraId="5D2E58DD"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2.015</w:t>
            </w:r>
          </w:p>
        </w:tc>
      </w:tr>
      <w:tr w:rsidR="002E5414" w:rsidRPr="002E5414" w14:paraId="0EEB0FBD" w14:textId="77777777" w:rsidTr="0058141E">
        <w:trPr>
          <w:trHeight w:val="148"/>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562961B6"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M_CNTT</w:t>
            </w:r>
          </w:p>
        </w:tc>
        <w:tc>
          <w:tcPr>
            <w:tcW w:w="1754" w:type="dxa"/>
            <w:tcBorders>
              <w:top w:val="nil"/>
              <w:left w:val="nil"/>
              <w:bottom w:val="single" w:sz="4" w:space="0" w:color="auto"/>
              <w:right w:val="single" w:sz="4" w:space="0" w:color="auto"/>
            </w:tcBorders>
            <w:shd w:val="clear" w:color="auto" w:fill="auto"/>
            <w:vAlign w:val="center"/>
            <w:hideMark/>
          </w:tcPr>
          <w:p w14:paraId="0C96741D"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0.094</w:t>
            </w:r>
          </w:p>
        </w:tc>
        <w:tc>
          <w:tcPr>
            <w:tcW w:w="898" w:type="dxa"/>
            <w:tcBorders>
              <w:top w:val="nil"/>
              <w:left w:val="nil"/>
              <w:bottom w:val="single" w:sz="4" w:space="0" w:color="auto"/>
              <w:right w:val="single" w:sz="4" w:space="0" w:color="auto"/>
            </w:tcBorders>
            <w:shd w:val="clear" w:color="auto" w:fill="auto"/>
            <w:vAlign w:val="center"/>
            <w:hideMark/>
          </w:tcPr>
          <w:p w14:paraId="02F12CB8"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0.033</w:t>
            </w:r>
          </w:p>
        </w:tc>
        <w:tc>
          <w:tcPr>
            <w:tcW w:w="1505" w:type="dxa"/>
            <w:tcBorders>
              <w:top w:val="nil"/>
              <w:left w:val="nil"/>
              <w:bottom w:val="single" w:sz="4" w:space="0" w:color="auto"/>
              <w:right w:val="single" w:sz="4" w:space="0" w:color="auto"/>
            </w:tcBorders>
            <w:shd w:val="clear" w:color="auto" w:fill="auto"/>
            <w:vAlign w:val="center"/>
            <w:hideMark/>
          </w:tcPr>
          <w:p w14:paraId="794D3A73"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0.107</w:t>
            </w:r>
          </w:p>
        </w:tc>
        <w:tc>
          <w:tcPr>
            <w:tcW w:w="898" w:type="dxa"/>
            <w:tcBorders>
              <w:top w:val="nil"/>
              <w:left w:val="nil"/>
              <w:bottom w:val="single" w:sz="4" w:space="0" w:color="auto"/>
              <w:right w:val="single" w:sz="4" w:space="0" w:color="auto"/>
            </w:tcBorders>
            <w:shd w:val="clear" w:color="auto" w:fill="auto"/>
            <w:vAlign w:val="center"/>
            <w:hideMark/>
          </w:tcPr>
          <w:p w14:paraId="22C8430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2.873</w:t>
            </w:r>
          </w:p>
        </w:tc>
        <w:tc>
          <w:tcPr>
            <w:tcW w:w="898" w:type="dxa"/>
            <w:tcBorders>
              <w:top w:val="nil"/>
              <w:left w:val="nil"/>
              <w:bottom w:val="single" w:sz="4" w:space="0" w:color="auto"/>
              <w:right w:val="single" w:sz="4" w:space="0" w:color="auto"/>
            </w:tcBorders>
            <w:shd w:val="clear" w:color="auto" w:fill="auto"/>
            <w:vAlign w:val="center"/>
            <w:hideMark/>
          </w:tcPr>
          <w:p w14:paraId="77C0D1BD"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0.004</w:t>
            </w:r>
          </w:p>
        </w:tc>
        <w:tc>
          <w:tcPr>
            <w:tcW w:w="1367" w:type="dxa"/>
            <w:tcBorders>
              <w:top w:val="nil"/>
              <w:left w:val="nil"/>
              <w:bottom w:val="single" w:sz="4" w:space="0" w:color="auto"/>
              <w:right w:val="single" w:sz="4" w:space="0" w:color="auto"/>
            </w:tcBorders>
            <w:shd w:val="clear" w:color="auto" w:fill="auto"/>
            <w:vAlign w:val="center"/>
            <w:hideMark/>
          </w:tcPr>
          <w:p w14:paraId="3B3B2A3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0.663</w:t>
            </w:r>
          </w:p>
        </w:tc>
        <w:tc>
          <w:tcPr>
            <w:tcW w:w="900" w:type="dxa"/>
            <w:tcBorders>
              <w:top w:val="nil"/>
              <w:left w:val="nil"/>
              <w:bottom w:val="single" w:sz="4" w:space="0" w:color="auto"/>
              <w:right w:val="single" w:sz="4" w:space="0" w:color="auto"/>
            </w:tcBorders>
            <w:shd w:val="clear" w:color="auto" w:fill="auto"/>
            <w:vAlign w:val="center"/>
            <w:hideMark/>
          </w:tcPr>
          <w:p w14:paraId="67CF187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1.507</w:t>
            </w:r>
          </w:p>
        </w:tc>
      </w:tr>
      <w:tr w:rsidR="002E5414" w:rsidRPr="002E5414" w14:paraId="16590BC7" w14:textId="77777777" w:rsidTr="0058141E">
        <w:trPr>
          <w:trHeight w:val="148"/>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6AC76C19"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M_MTPL</w:t>
            </w:r>
          </w:p>
        </w:tc>
        <w:tc>
          <w:tcPr>
            <w:tcW w:w="1754" w:type="dxa"/>
            <w:tcBorders>
              <w:top w:val="nil"/>
              <w:left w:val="nil"/>
              <w:bottom w:val="single" w:sz="4" w:space="0" w:color="auto"/>
              <w:right w:val="single" w:sz="4" w:space="0" w:color="auto"/>
            </w:tcBorders>
            <w:shd w:val="clear" w:color="auto" w:fill="auto"/>
            <w:vAlign w:val="center"/>
            <w:hideMark/>
          </w:tcPr>
          <w:p w14:paraId="7F8ADBE3"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0.116</w:t>
            </w:r>
          </w:p>
        </w:tc>
        <w:tc>
          <w:tcPr>
            <w:tcW w:w="898" w:type="dxa"/>
            <w:tcBorders>
              <w:top w:val="nil"/>
              <w:left w:val="nil"/>
              <w:bottom w:val="single" w:sz="4" w:space="0" w:color="auto"/>
              <w:right w:val="single" w:sz="4" w:space="0" w:color="auto"/>
            </w:tcBorders>
            <w:shd w:val="clear" w:color="auto" w:fill="auto"/>
            <w:vAlign w:val="center"/>
            <w:hideMark/>
          </w:tcPr>
          <w:p w14:paraId="0D22876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0.033</w:t>
            </w:r>
          </w:p>
        </w:tc>
        <w:tc>
          <w:tcPr>
            <w:tcW w:w="1505" w:type="dxa"/>
            <w:tcBorders>
              <w:top w:val="nil"/>
              <w:left w:val="nil"/>
              <w:bottom w:val="single" w:sz="4" w:space="0" w:color="auto"/>
              <w:right w:val="single" w:sz="4" w:space="0" w:color="auto"/>
            </w:tcBorders>
            <w:shd w:val="clear" w:color="auto" w:fill="auto"/>
            <w:vAlign w:val="center"/>
            <w:hideMark/>
          </w:tcPr>
          <w:p w14:paraId="00B06E1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0.138</w:t>
            </w:r>
          </w:p>
        </w:tc>
        <w:tc>
          <w:tcPr>
            <w:tcW w:w="898" w:type="dxa"/>
            <w:tcBorders>
              <w:top w:val="nil"/>
              <w:left w:val="nil"/>
              <w:bottom w:val="single" w:sz="4" w:space="0" w:color="auto"/>
              <w:right w:val="single" w:sz="4" w:space="0" w:color="auto"/>
            </w:tcBorders>
            <w:shd w:val="clear" w:color="auto" w:fill="auto"/>
            <w:vAlign w:val="center"/>
            <w:hideMark/>
          </w:tcPr>
          <w:p w14:paraId="0B7BC6F1"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3.47</w:t>
            </w:r>
          </w:p>
        </w:tc>
        <w:tc>
          <w:tcPr>
            <w:tcW w:w="898" w:type="dxa"/>
            <w:tcBorders>
              <w:top w:val="nil"/>
              <w:left w:val="nil"/>
              <w:bottom w:val="single" w:sz="4" w:space="0" w:color="auto"/>
              <w:right w:val="single" w:sz="4" w:space="0" w:color="auto"/>
            </w:tcBorders>
            <w:shd w:val="clear" w:color="auto" w:fill="auto"/>
            <w:vAlign w:val="center"/>
            <w:hideMark/>
          </w:tcPr>
          <w:p w14:paraId="268BBE94"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0.001</w:t>
            </w:r>
          </w:p>
        </w:tc>
        <w:tc>
          <w:tcPr>
            <w:tcW w:w="1367" w:type="dxa"/>
            <w:tcBorders>
              <w:top w:val="nil"/>
              <w:left w:val="nil"/>
              <w:bottom w:val="single" w:sz="4" w:space="0" w:color="auto"/>
              <w:right w:val="single" w:sz="4" w:space="0" w:color="auto"/>
            </w:tcBorders>
            <w:shd w:val="clear" w:color="auto" w:fill="auto"/>
            <w:vAlign w:val="center"/>
            <w:hideMark/>
          </w:tcPr>
          <w:p w14:paraId="5A1B0D7E"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0.583</w:t>
            </w:r>
          </w:p>
        </w:tc>
        <w:tc>
          <w:tcPr>
            <w:tcW w:w="900" w:type="dxa"/>
            <w:tcBorders>
              <w:top w:val="nil"/>
              <w:left w:val="nil"/>
              <w:bottom w:val="single" w:sz="4" w:space="0" w:color="auto"/>
              <w:right w:val="single" w:sz="4" w:space="0" w:color="auto"/>
            </w:tcBorders>
            <w:shd w:val="clear" w:color="auto" w:fill="auto"/>
            <w:vAlign w:val="center"/>
            <w:hideMark/>
          </w:tcPr>
          <w:p w14:paraId="5AE1752C"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1.716</w:t>
            </w:r>
          </w:p>
        </w:tc>
      </w:tr>
      <w:tr w:rsidR="002E5414" w:rsidRPr="002E5414" w14:paraId="0B1DA854" w14:textId="77777777" w:rsidTr="0058141E">
        <w:trPr>
          <w:trHeight w:val="297"/>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71258F42"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M_NCTTKT</w:t>
            </w:r>
          </w:p>
        </w:tc>
        <w:tc>
          <w:tcPr>
            <w:tcW w:w="1754" w:type="dxa"/>
            <w:tcBorders>
              <w:top w:val="nil"/>
              <w:left w:val="nil"/>
              <w:bottom w:val="single" w:sz="4" w:space="0" w:color="auto"/>
              <w:right w:val="single" w:sz="4" w:space="0" w:color="auto"/>
            </w:tcBorders>
            <w:shd w:val="clear" w:color="auto" w:fill="auto"/>
            <w:vAlign w:val="center"/>
            <w:hideMark/>
          </w:tcPr>
          <w:p w14:paraId="48F5B92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0.103</w:t>
            </w:r>
          </w:p>
        </w:tc>
        <w:tc>
          <w:tcPr>
            <w:tcW w:w="898" w:type="dxa"/>
            <w:tcBorders>
              <w:top w:val="nil"/>
              <w:left w:val="nil"/>
              <w:bottom w:val="single" w:sz="4" w:space="0" w:color="auto"/>
              <w:right w:val="single" w:sz="4" w:space="0" w:color="auto"/>
            </w:tcBorders>
            <w:shd w:val="clear" w:color="auto" w:fill="auto"/>
            <w:vAlign w:val="center"/>
            <w:hideMark/>
          </w:tcPr>
          <w:p w14:paraId="15CC2565"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0.036</w:t>
            </w:r>
          </w:p>
        </w:tc>
        <w:tc>
          <w:tcPr>
            <w:tcW w:w="1505" w:type="dxa"/>
            <w:tcBorders>
              <w:top w:val="nil"/>
              <w:left w:val="nil"/>
              <w:bottom w:val="single" w:sz="4" w:space="0" w:color="auto"/>
              <w:right w:val="single" w:sz="4" w:space="0" w:color="auto"/>
            </w:tcBorders>
            <w:shd w:val="clear" w:color="auto" w:fill="auto"/>
            <w:vAlign w:val="center"/>
            <w:hideMark/>
          </w:tcPr>
          <w:p w14:paraId="53C35793"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0.109</w:t>
            </w:r>
          </w:p>
        </w:tc>
        <w:tc>
          <w:tcPr>
            <w:tcW w:w="898" w:type="dxa"/>
            <w:tcBorders>
              <w:top w:val="nil"/>
              <w:left w:val="nil"/>
              <w:bottom w:val="single" w:sz="4" w:space="0" w:color="auto"/>
              <w:right w:val="single" w:sz="4" w:space="0" w:color="auto"/>
            </w:tcBorders>
            <w:shd w:val="clear" w:color="auto" w:fill="auto"/>
            <w:vAlign w:val="center"/>
            <w:hideMark/>
          </w:tcPr>
          <w:p w14:paraId="080391F9"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2.862</w:t>
            </w:r>
          </w:p>
        </w:tc>
        <w:tc>
          <w:tcPr>
            <w:tcW w:w="898" w:type="dxa"/>
            <w:tcBorders>
              <w:top w:val="nil"/>
              <w:left w:val="nil"/>
              <w:bottom w:val="single" w:sz="4" w:space="0" w:color="auto"/>
              <w:right w:val="single" w:sz="4" w:space="0" w:color="auto"/>
            </w:tcBorders>
            <w:shd w:val="clear" w:color="auto" w:fill="auto"/>
            <w:vAlign w:val="center"/>
            <w:hideMark/>
          </w:tcPr>
          <w:p w14:paraId="0C03C2B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0.005</w:t>
            </w:r>
          </w:p>
        </w:tc>
        <w:tc>
          <w:tcPr>
            <w:tcW w:w="1367" w:type="dxa"/>
            <w:tcBorders>
              <w:top w:val="nil"/>
              <w:left w:val="nil"/>
              <w:bottom w:val="single" w:sz="4" w:space="0" w:color="auto"/>
              <w:right w:val="single" w:sz="4" w:space="0" w:color="auto"/>
            </w:tcBorders>
            <w:shd w:val="clear" w:color="auto" w:fill="auto"/>
            <w:vAlign w:val="center"/>
            <w:hideMark/>
          </w:tcPr>
          <w:p w14:paraId="0750D3DA"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0.632</w:t>
            </w:r>
          </w:p>
        </w:tc>
        <w:tc>
          <w:tcPr>
            <w:tcW w:w="900" w:type="dxa"/>
            <w:tcBorders>
              <w:top w:val="nil"/>
              <w:left w:val="nil"/>
              <w:bottom w:val="single" w:sz="4" w:space="0" w:color="auto"/>
              <w:right w:val="single" w:sz="4" w:space="0" w:color="auto"/>
            </w:tcBorders>
            <w:shd w:val="clear" w:color="auto" w:fill="auto"/>
            <w:vAlign w:val="center"/>
            <w:hideMark/>
          </w:tcPr>
          <w:p w14:paraId="42DBF39D"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1.582</w:t>
            </w:r>
          </w:p>
        </w:tc>
      </w:tr>
      <w:tr w:rsidR="002E5414" w:rsidRPr="002E5414" w14:paraId="0D12D7B9" w14:textId="77777777" w:rsidTr="0058141E">
        <w:trPr>
          <w:trHeight w:val="297"/>
        </w:trPr>
        <w:tc>
          <w:tcPr>
            <w:tcW w:w="1454" w:type="dxa"/>
            <w:tcBorders>
              <w:top w:val="nil"/>
              <w:left w:val="single" w:sz="4" w:space="0" w:color="auto"/>
              <w:bottom w:val="single" w:sz="4" w:space="0" w:color="auto"/>
              <w:right w:val="single" w:sz="4" w:space="0" w:color="auto"/>
            </w:tcBorders>
            <w:shd w:val="clear" w:color="auto" w:fill="auto"/>
            <w:vAlign w:val="center"/>
            <w:hideMark/>
          </w:tcPr>
          <w:p w14:paraId="0BCF4D46" w14:textId="77777777" w:rsidR="00886A6B" w:rsidRPr="002E5414" w:rsidRDefault="00886A6B" w:rsidP="0058141E">
            <w:pPr>
              <w:rPr>
                <w:rFonts w:ascii="Times New Roman" w:hAnsi="Times New Roman" w:cs="Times New Roman"/>
                <w:color w:val="000000" w:themeColor="text1"/>
              </w:rPr>
            </w:pPr>
            <w:r w:rsidRPr="002E5414">
              <w:rPr>
                <w:rFonts w:ascii="Times New Roman" w:hAnsi="Times New Roman" w:cs="Times New Roman"/>
                <w:color w:val="000000" w:themeColor="text1"/>
              </w:rPr>
              <w:t>M_NTCDT</w:t>
            </w:r>
          </w:p>
        </w:tc>
        <w:tc>
          <w:tcPr>
            <w:tcW w:w="1754" w:type="dxa"/>
            <w:tcBorders>
              <w:top w:val="nil"/>
              <w:left w:val="nil"/>
              <w:bottom w:val="single" w:sz="4" w:space="0" w:color="auto"/>
              <w:right w:val="single" w:sz="4" w:space="0" w:color="auto"/>
            </w:tcBorders>
            <w:shd w:val="clear" w:color="auto" w:fill="auto"/>
            <w:vAlign w:val="center"/>
            <w:hideMark/>
          </w:tcPr>
          <w:p w14:paraId="2AD43718"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0.309</w:t>
            </w:r>
          </w:p>
        </w:tc>
        <w:tc>
          <w:tcPr>
            <w:tcW w:w="898" w:type="dxa"/>
            <w:tcBorders>
              <w:top w:val="nil"/>
              <w:left w:val="nil"/>
              <w:bottom w:val="single" w:sz="4" w:space="0" w:color="auto"/>
              <w:right w:val="single" w:sz="4" w:space="0" w:color="auto"/>
            </w:tcBorders>
            <w:shd w:val="clear" w:color="auto" w:fill="auto"/>
            <w:vAlign w:val="center"/>
            <w:hideMark/>
          </w:tcPr>
          <w:p w14:paraId="2A52643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0.039</w:t>
            </w:r>
          </w:p>
        </w:tc>
        <w:tc>
          <w:tcPr>
            <w:tcW w:w="1505" w:type="dxa"/>
            <w:tcBorders>
              <w:top w:val="nil"/>
              <w:left w:val="nil"/>
              <w:bottom w:val="single" w:sz="4" w:space="0" w:color="auto"/>
              <w:right w:val="single" w:sz="4" w:space="0" w:color="auto"/>
            </w:tcBorders>
            <w:shd w:val="clear" w:color="auto" w:fill="auto"/>
            <w:vAlign w:val="center"/>
            <w:hideMark/>
          </w:tcPr>
          <w:p w14:paraId="35DA88CA"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0.37</w:t>
            </w:r>
          </w:p>
        </w:tc>
        <w:tc>
          <w:tcPr>
            <w:tcW w:w="898" w:type="dxa"/>
            <w:tcBorders>
              <w:top w:val="nil"/>
              <w:left w:val="nil"/>
              <w:bottom w:val="single" w:sz="4" w:space="0" w:color="auto"/>
              <w:right w:val="single" w:sz="4" w:space="0" w:color="auto"/>
            </w:tcBorders>
            <w:shd w:val="clear" w:color="auto" w:fill="auto"/>
            <w:vAlign w:val="center"/>
            <w:hideMark/>
          </w:tcPr>
          <w:p w14:paraId="1BBE70D2"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7.877</w:t>
            </w:r>
          </w:p>
        </w:tc>
        <w:tc>
          <w:tcPr>
            <w:tcW w:w="898" w:type="dxa"/>
            <w:tcBorders>
              <w:top w:val="nil"/>
              <w:left w:val="nil"/>
              <w:bottom w:val="single" w:sz="4" w:space="0" w:color="auto"/>
              <w:right w:val="single" w:sz="4" w:space="0" w:color="auto"/>
            </w:tcBorders>
            <w:shd w:val="clear" w:color="auto" w:fill="auto"/>
            <w:vAlign w:val="center"/>
            <w:hideMark/>
          </w:tcPr>
          <w:p w14:paraId="73FAEE0B"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w:t>
            </w:r>
          </w:p>
        </w:tc>
        <w:tc>
          <w:tcPr>
            <w:tcW w:w="1367" w:type="dxa"/>
            <w:tcBorders>
              <w:top w:val="nil"/>
              <w:left w:val="nil"/>
              <w:bottom w:val="single" w:sz="4" w:space="0" w:color="auto"/>
              <w:right w:val="single" w:sz="4" w:space="0" w:color="auto"/>
            </w:tcBorders>
            <w:shd w:val="clear" w:color="auto" w:fill="auto"/>
            <w:vAlign w:val="center"/>
            <w:hideMark/>
          </w:tcPr>
          <w:p w14:paraId="7C8B2051"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0.416</w:t>
            </w:r>
          </w:p>
        </w:tc>
        <w:tc>
          <w:tcPr>
            <w:tcW w:w="900" w:type="dxa"/>
            <w:tcBorders>
              <w:top w:val="nil"/>
              <w:left w:val="nil"/>
              <w:bottom w:val="single" w:sz="4" w:space="0" w:color="auto"/>
              <w:right w:val="single" w:sz="4" w:space="0" w:color="auto"/>
            </w:tcBorders>
            <w:shd w:val="clear" w:color="auto" w:fill="auto"/>
            <w:vAlign w:val="center"/>
            <w:hideMark/>
          </w:tcPr>
          <w:p w14:paraId="0063BB3E" w14:textId="77777777" w:rsidR="00886A6B" w:rsidRPr="002E5414" w:rsidRDefault="00886A6B" w:rsidP="0058141E">
            <w:pPr>
              <w:jc w:val="right"/>
              <w:rPr>
                <w:rFonts w:ascii="Times New Roman" w:hAnsi="Times New Roman" w:cs="Times New Roman"/>
                <w:color w:val="000000" w:themeColor="text1"/>
              </w:rPr>
            </w:pPr>
            <w:r w:rsidRPr="002E5414">
              <w:rPr>
                <w:rFonts w:ascii="Times New Roman" w:hAnsi="Times New Roman" w:cs="Times New Roman"/>
                <w:color w:val="000000" w:themeColor="text1"/>
              </w:rPr>
              <w:t>2.403</w:t>
            </w:r>
          </w:p>
        </w:tc>
      </w:tr>
      <w:tr w:rsidR="002E5414" w:rsidRPr="002E5414" w14:paraId="11326E36" w14:textId="77777777" w:rsidTr="0058141E">
        <w:trPr>
          <w:trHeight w:val="39"/>
        </w:trPr>
        <w:tc>
          <w:tcPr>
            <w:tcW w:w="9674" w:type="dxa"/>
            <w:gridSpan w:val="8"/>
            <w:tcBorders>
              <w:top w:val="nil"/>
              <w:left w:val="single" w:sz="4" w:space="0" w:color="auto"/>
              <w:bottom w:val="single" w:sz="4" w:space="0" w:color="auto"/>
              <w:right w:val="single" w:sz="4" w:space="0" w:color="auto"/>
            </w:tcBorders>
            <w:shd w:val="clear" w:color="auto" w:fill="auto"/>
            <w:noWrap/>
            <w:vAlign w:val="bottom"/>
            <w:hideMark/>
          </w:tcPr>
          <w:p w14:paraId="26EA8F67" w14:textId="77777777" w:rsidR="00886A6B" w:rsidRPr="002E5414" w:rsidRDefault="00886A6B" w:rsidP="0058141E">
            <w:pPr>
              <w:jc w:val="center"/>
              <w:rPr>
                <w:rFonts w:ascii="Times New Roman" w:hAnsi="Times New Roman" w:cs="Times New Roman"/>
                <w:b/>
                <w:bCs/>
                <w:i/>
                <w:color w:val="000000" w:themeColor="text1"/>
              </w:rPr>
            </w:pPr>
            <w:r w:rsidRPr="002E5414">
              <w:rPr>
                <w:rFonts w:ascii="Times New Roman" w:hAnsi="Times New Roman" w:cs="Times New Roman"/>
                <w:b/>
                <w:bCs/>
                <w:i/>
                <w:color w:val="000000" w:themeColor="text1"/>
              </w:rPr>
              <w:t>Model Statistics:</w:t>
            </w:r>
            <w:r w:rsidRPr="002E5414">
              <w:rPr>
                <w:rFonts w:ascii="Times New Roman" w:hAnsi="Times New Roman" w:cs="Times New Roman"/>
                <w:i/>
                <w:color w:val="000000" w:themeColor="text1"/>
              </w:rPr>
              <w:t xml:space="preserve"> R² = 0.782; F = 121.355; Durbin–Watson = 1.920; N = 245.</w:t>
            </w:r>
          </w:p>
          <w:p w14:paraId="0F8C374E" w14:textId="77777777" w:rsidR="00886A6B" w:rsidRPr="002E5414" w:rsidRDefault="00886A6B" w:rsidP="0058141E">
            <w:pPr>
              <w:rPr>
                <w:rFonts w:ascii="Times New Roman" w:hAnsi="Times New Roman" w:cs="Times New Roman"/>
                <w:i/>
                <w:color w:val="000000" w:themeColor="text1"/>
              </w:rPr>
            </w:pPr>
            <w:r w:rsidRPr="002E5414">
              <w:rPr>
                <w:rFonts w:ascii="Times New Roman" w:hAnsi="Times New Roman" w:cs="Times New Roman"/>
                <w:i/>
                <w:color w:val="000000" w:themeColor="text1"/>
              </w:rPr>
              <w:t> </w:t>
            </w:r>
          </w:p>
        </w:tc>
      </w:tr>
    </w:tbl>
    <w:p w14:paraId="56BAD8A8" w14:textId="77777777" w:rsidR="00886A6B" w:rsidRPr="002E5414" w:rsidRDefault="00886A6B" w:rsidP="00886A6B">
      <w:pPr>
        <w:rPr>
          <w:color w:val="000000" w:themeColor="text1"/>
        </w:rPr>
      </w:pPr>
    </w:p>
    <w:p w14:paraId="59168EB7" w14:textId="77777777" w:rsidR="00886A6B" w:rsidRPr="002E5414" w:rsidRDefault="00886A6B" w:rsidP="00886A6B">
      <w:pPr>
        <w:rPr>
          <w:color w:val="000000" w:themeColor="text1"/>
        </w:rPr>
      </w:pPr>
    </w:p>
    <w:p w14:paraId="516DF75E" w14:textId="77777777" w:rsidR="00886A6B" w:rsidRPr="002E5414" w:rsidRDefault="00886A6B" w:rsidP="00886A6B">
      <w:pPr>
        <w:pStyle w:val="Heading3"/>
        <w:jc w:val="center"/>
        <w:rPr>
          <w:color w:val="000000" w:themeColor="text1"/>
        </w:rPr>
      </w:pPr>
      <w:r w:rsidRPr="002E5414">
        <w:rPr>
          <w:color w:val="000000" w:themeColor="text1"/>
        </w:rPr>
        <w:lastRenderedPageBreak/>
        <w:t>CHAPTER 3: ENHANCING THE ORGANIZATION OF ACCOUNTING PRACTICES IN PUBLIC HOSPITALS IN THE MEKONG DELTA REGION</w:t>
      </w:r>
    </w:p>
    <w:p w14:paraId="02B7B8C7"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3.1. Development orientation for public hospitals in the Mekong Delta region</w:t>
      </w:r>
    </w:p>
    <w:p w14:paraId="5D3865C9"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In the context of the restructuring of provincial-level administrative units effective from July 1, 2025, the development of the healthcare system in the Mekong Delta region is increasingly oriented toward greater centralization, specialization, and modernization. These strategic directions are not only objectives of the healthcare sector but also imperatives that necessitate a comprehensive restructuring of accounting practices within public hospitals.</w:t>
      </w:r>
    </w:p>
    <w:p w14:paraId="57A5B267"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3.2. Requirements and principles for enhancing the organization of accounting practices</w:t>
      </w:r>
    </w:p>
    <w:p w14:paraId="0AB9F6DB"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In line with these development orientations, enhancing the organization of accounting practices in public hospitals across the Mekong Delta region should be regarded as a strategic priority. Such enhancement must adhere to rigorous requirements and guiding principles to ensure efficiency, transparency, and accountability in financial management.</w:t>
      </w:r>
    </w:p>
    <w:p w14:paraId="1B3FF671"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3.3. Basis and perspectives for developing policy recommendations</w:t>
      </w:r>
    </w:p>
    <w:p w14:paraId="7FDE2071"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 Enhancing the organization of accounting practices in public hospitals in the Mekong Delta region</w:t>
      </w:r>
    </w:p>
    <w:p w14:paraId="078F95A0"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3.4.1. Enhancing the organization of the accounting function</w:t>
      </w:r>
    </w:p>
    <w:p w14:paraId="2A6BD74B"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Public hospitals in the Mekong Delta region should restructure their accounting departments toward greater specialization, clearly delineating responsibilities among accounting functions while strengthening cross-monitoring and internal control mechanisms. In addition, a responsibility-based framework should be established between data-recording units and reporting units. Efforts should also focus on improving recruitment standards, professional training, and capacity development in public sector accounting.</w:t>
      </w:r>
    </w:p>
    <w:p w14:paraId="062F2C9F"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3.4.2. Enhancing the collection of accounting information</w:t>
      </w:r>
    </w:p>
    <w:p w14:paraId="5ACF711A"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 xml:space="preserve">Public hospitals should develop an integrated data management framework linking accounting software with clinical and operational information systems (HIS, LIS, RIS, and PACS) to automate data capture processes. The adoption of electronic documentation, data connectivity with social insurance agencies, and automated </w:t>
      </w:r>
      <w:r w:rsidRPr="002E5414">
        <w:rPr>
          <w:rFonts w:ascii="Times New Roman" w:hAnsi="Times New Roman" w:cs="Times New Roman"/>
          <w:color w:val="000000" w:themeColor="text1"/>
          <w:szCs w:val="26"/>
        </w:rPr>
        <w:lastRenderedPageBreak/>
        <w:t>reconciliation mechanisms will help reduce reporting errors while improving the timeliness, accuracy, and reliability of accounting information.</w:t>
      </w:r>
    </w:p>
    <w:p w14:paraId="6332EC21"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3.4.3. Enhancing the verification and storage of accounting information</w:t>
      </w:r>
    </w:p>
    <w:p w14:paraId="3399873B"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Public hospitals should establish a comprehensive internal control system comprising departmental self-assessment, independent review by the accounting department, and final authorization by the chief accountant. Large-scale hospitals should consider establishing an independent internal audit or internal control unit. Simultaneously, greater emphasis should be placed on electronic archiving and digital technologies to ensure data security, improve information accessibility, and strengthen transparency and accountability in public financial management.</w:t>
      </w:r>
    </w:p>
    <w:p w14:paraId="23E5A2B9"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3.4.4. Enhancing the processing and systematization of accounting information</w:t>
      </w:r>
    </w:p>
    <w:p w14:paraId="3BA06734"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Public hospitals should implement a dual accounting framework that combines accrual-based financial accounting with cash-based budgetary accounting. Furthermore, management accounting systems should be developed to improve cost accumulation and allocation procedures for individual healthcare services, thereby supporting service costing and cost management initiatives. Translating legal regulations and public sector accounting standards into internal policies and operating procedures will further improve the efficiency and consistency of accounting information processing and systematization.</w:t>
      </w:r>
    </w:p>
    <w:p w14:paraId="13A4011F" w14:textId="77777777" w:rsidR="00886A6B" w:rsidRPr="002E5414" w:rsidRDefault="00886A6B" w:rsidP="00886A6B">
      <w:pPr>
        <w:pStyle w:val="Heading3"/>
        <w:spacing w:before="0" w:after="0" w:line="360" w:lineRule="auto"/>
        <w:rPr>
          <w:color w:val="000000" w:themeColor="text1"/>
        </w:rPr>
      </w:pPr>
      <w:r w:rsidRPr="002E5414">
        <w:rPr>
          <w:color w:val="000000" w:themeColor="text1"/>
        </w:rPr>
        <w:t>3.4.5. Enhancing the provision and analysis of accounting information</w:t>
      </w:r>
    </w:p>
    <w:p w14:paraId="15CBC3D4" w14:textId="77777777" w:rsidR="00886A6B" w:rsidRPr="002E5414" w:rsidRDefault="00886A6B" w:rsidP="00886A6B">
      <w:pPr>
        <w:spacing w:line="360"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Public hospitals should strengthen the quality of financial disclosure by improving reporting systems and expanding financial statement disclosures in a transparent and user-oriented manner. Accounting information should be subject to multidimensional analysis to support managerial decision-making, while promoting greater transparency, public disclosure, and accountability in the management of public financial resources.</w:t>
      </w:r>
    </w:p>
    <w:p w14:paraId="45244D05" w14:textId="77777777" w:rsidR="00886A6B" w:rsidRPr="002E5414" w:rsidRDefault="00886A6B" w:rsidP="00C45258">
      <w:pPr>
        <w:pStyle w:val="Heading3"/>
        <w:spacing w:before="0" w:after="0" w:line="276" w:lineRule="auto"/>
        <w:rPr>
          <w:color w:val="000000" w:themeColor="text1"/>
        </w:rPr>
      </w:pPr>
      <w:r w:rsidRPr="002E5414">
        <w:rPr>
          <w:color w:val="000000" w:themeColor="text1"/>
        </w:rPr>
        <w:t>3.5. Policy recommendations</w:t>
      </w:r>
    </w:p>
    <w:p w14:paraId="1CAB8AB7" w14:textId="77777777" w:rsidR="00886A6B" w:rsidRPr="002E5414" w:rsidRDefault="00886A6B" w:rsidP="00C45258">
      <w:pPr>
        <w:spacing w:line="276" w:lineRule="auto"/>
        <w:ind w:firstLine="567"/>
        <w:jc w:val="both"/>
        <w:rPr>
          <w:rFonts w:ascii="Times New Roman" w:hAnsi="Times New Roman" w:cs="Times New Roman"/>
          <w:color w:val="000000" w:themeColor="text1"/>
          <w:szCs w:val="26"/>
        </w:rPr>
      </w:pPr>
      <w:r w:rsidRPr="002E5414">
        <w:rPr>
          <w:rFonts w:ascii="Times New Roman" w:hAnsi="Times New Roman" w:cs="Times New Roman"/>
          <w:color w:val="000000" w:themeColor="text1"/>
          <w:szCs w:val="26"/>
        </w:rPr>
        <w:t>Based on the findings from the qualitative assessment and quantitative analysis, the dissertation proposes several policy recommendations aimed at strengthening the organization of accounting practices within public hospitals, particularly in the context of the implementation of the new public sector accounting regulations and the ongoing modernization of public financial management.</w:t>
      </w:r>
    </w:p>
    <w:p w14:paraId="7BF55669" w14:textId="77777777" w:rsidR="00886A6B" w:rsidRPr="002E5414" w:rsidRDefault="00886A6B" w:rsidP="00C45258">
      <w:pPr>
        <w:pStyle w:val="Heading3"/>
        <w:spacing w:before="0" w:after="0" w:line="276" w:lineRule="auto"/>
        <w:rPr>
          <w:color w:val="000000" w:themeColor="text1"/>
        </w:rPr>
      </w:pPr>
      <w:r w:rsidRPr="002E5414">
        <w:rPr>
          <w:color w:val="000000" w:themeColor="text1"/>
        </w:rPr>
        <w:t>3.5.1. Recommendations for healthcare regulatory authorities</w:t>
      </w:r>
    </w:p>
    <w:p w14:paraId="60B85A96" w14:textId="77777777"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The Ministry of Health, in coordination with the Ministry of Finance, should lead the development of a unified framework and guidance for management accounting in public healthcare facilities. Concurrently, regulatory authorities must update and </w:t>
      </w:r>
      <w:r w:rsidRPr="002E5414">
        <w:rPr>
          <w:color w:val="000000" w:themeColor="text1"/>
          <w:sz w:val="26"/>
          <w:szCs w:val="26"/>
        </w:rPr>
        <w:lastRenderedPageBreak/>
        <w:t xml:space="preserve">harmonize detailed implementation guidelines to facilitate the effective application of Circular No. 24/2024/TT-BTC. Guidance should prioritize complex accounting issues, such as revenue and expense recognition under the new healthcare service pricing mechanism, fixed asset accounting and depreciation/amortization, the classification of autonomous versus non-autonomous funding sources, and financial disclosure procedures. These measures are essential to ensure consistency and uniformity across the healthcare system. </w:t>
      </w:r>
    </w:p>
    <w:p w14:paraId="1B781A6A" w14:textId="34E6EE51"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A standardized roadmap for input data structures should also be established to enable direct interoperability between healthcare management information systems—including (HIS), (LIS), (RIS), and (PACS)—and hospital accounting software, the health insurance claims verification portal, and (TABMIS). This integration would automate financial data processing, minimize manual errors, and enhance real-time cash flow monitoring. </w:t>
      </w:r>
    </w:p>
    <w:p w14:paraId="699A19E4" w14:textId="6DD73AD3"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Furthermore, regulatory authorities should establish an integrated set of (KPIs) to evaluate both accounting performance and digital transformation maturity in hospitals. In parallel, periodic inspections and independent evaluations of accounting activities must be institutionalized and tied directly to leadership accountability. These steps provide a fundamental basis for ensuring legal compliance, preventing the loss or misappropriation of public assets, and optimizing healthcare budget utilization.</w:t>
      </w:r>
    </w:p>
    <w:p w14:paraId="0E00E260" w14:textId="355F23FC" w:rsidR="00886A6B" w:rsidRPr="002E5414" w:rsidRDefault="00886A6B" w:rsidP="00C45258">
      <w:pPr>
        <w:pStyle w:val="Heading3"/>
        <w:spacing w:before="0" w:after="0" w:line="276" w:lineRule="auto"/>
        <w:ind w:firstLine="567"/>
        <w:rPr>
          <w:color w:val="000000" w:themeColor="text1"/>
          <w:szCs w:val="26"/>
        </w:rPr>
      </w:pPr>
      <w:r w:rsidRPr="002E5414">
        <w:rPr>
          <w:color w:val="000000" w:themeColor="text1"/>
          <w:szCs w:val="26"/>
        </w:rPr>
        <w:t>3.5.2. Recommendations for public hospitals</w:t>
      </w:r>
    </w:p>
    <w:p w14:paraId="4A41AFA7" w14:textId="117EA2B9"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First, public hospitals should align their human resource development strategy for accounting personnel with their digital transformation roadmap. Accounting personnel must be recognized as pivotal to the effective operation of new financial management systems. Accordingly, training programs should expand beyond public-sector and conventional management accounting to emphasize data analytics and digital tools. Structured training plans should support the transition of accounting staff from manual data-entry roles to analytical and control-oriented functions. </w:t>
      </w:r>
    </w:p>
    <w:p w14:paraId="54FC7933" w14:textId="03DC30ED"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Second, public hospitals should accelerate the adoption of advanced technologies in accounting operations. Leveraging AI and Big Data analytics will enable hospitals to forecast cash flows, analyze service costs, and optimize financial resources. Implementing integrated electronic invoicing and digital accounting documentation will improve transaction transparency, automate reconciliation processes, reduce manual errors, and accelerate financial reporting. </w:t>
      </w:r>
    </w:p>
    <w:p w14:paraId="74C28A11" w14:textId="183312A0"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Third, public hospitals should transition to a risk-based internal control system. Moving away from traditional, retrospective error detection, hospitals need a risk management framework supported by real-time data. These systems should enable the early detection of anomalies across revenue, expenditures, pharmaceutical inventory, and supply procurement. Proactively managing these areas will strengthen overall financial risk governance in public healthcare institutions.</w:t>
      </w:r>
    </w:p>
    <w:p w14:paraId="52F92376" w14:textId="3F6E4C05" w:rsidR="00886A6B" w:rsidRPr="002E5414" w:rsidRDefault="00886A6B" w:rsidP="00C45258">
      <w:pPr>
        <w:pStyle w:val="Heading3"/>
        <w:spacing w:before="0" w:after="0" w:line="276" w:lineRule="auto"/>
        <w:ind w:firstLine="567"/>
        <w:rPr>
          <w:color w:val="000000" w:themeColor="text1"/>
          <w:szCs w:val="26"/>
        </w:rPr>
      </w:pPr>
      <w:r w:rsidRPr="002E5414">
        <w:rPr>
          <w:color w:val="000000" w:themeColor="text1"/>
          <w:szCs w:val="26"/>
        </w:rPr>
        <w:t>3.5.3. Recommendations for accounting education and human resource development institutions</w:t>
      </w:r>
    </w:p>
    <w:p w14:paraId="18F285FF" w14:textId="77777777"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First, educational institutions should update accounting curricula to reflect technological advancements. Universities should revise public-sector accounting </w:t>
      </w:r>
      <w:r w:rsidRPr="002E5414">
        <w:rPr>
          <w:color w:val="000000" w:themeColor="text1"/>
          <w:sz w:val="26"/>
          <w:szCs w:val="26"/>
        </w:rPr>
        <w:lastRenderedPageBreak/>
        <w:t xml:space="preserve">programs to incorporate modules on digital accounting, AI, and Big Data analytics applied to public financial management. </w:t>
      </w:r>
    </w:p>
    <w:p w14:paraId="2B0B435B" w14:textId="77777777"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 xml:space="preserve">Second, institutions should strengthen strategic collaborations with hospitals. Partnership models should extend beyond conventional student internships to joint research on healthcare-specific management accounting models. Educational institutions can act as technical advisors, assisting hospitals in transitioning from traditional control frameworks to modern, risk-based management systems. </w:t>
      </w:r>
    </w:p>
    <w:p w14:paraId="6A23CAFB" w14:textId="79AD42CA" w:rsidR="00346170" w:rsidRPr="002E5414" w:rsidRDefault="00346170" w:rsidP="00C45258">
      <w:pPr>
        <w:pStyle w:val="NormalWeb"/>
        <w:spacing w:before="0" w:beforeAutospacing="0" w:after="0" w:afterAutospacing="0" w:line="276" w:lineRule="auto"/>
        <w:ind w:firstLine="567"/>
        <w:jc w:val="both"/>
        <w:rPr>
          <w:color w:val="000000" w:themeColor="text1"/>
          <w:sz w:val="26"/>
          <w:szCs w:val="26"/>
        </w:rPr>
      </w:pPr>
      <w:r w:rsidRPr="002E5414">
        <w:rPr>
          <w:color w:val="000000" w:themeColor="text1"/>
          <w:sz w:val="26"/>
          <w:szCs w:val="26"/>
        </w:rPr>
        <w:t>Third, stakeholders should establish a dedicated network of digital transformation advisors and academic experts. Connecting accounting faculty with hospital chief accountants and practitioners will facilitate practical knowledge exchange in Big Data management, financial risk identification, digital accounting systems, and risk-based governance</w:t>
      </w:r>
      <w:r w:rsidR="001C1E3E" w:rsidRPr="002E5414">
        <w:rPr>
          <w:color w:val="000000" w:themeColor="text1"/>
          <w:sz w:val="26"/>
          <w:szCs w:val="26"/>
        </w:rPr>
        <w:t>.</w:t>
      </w:r>
    </w:p>
    <w:p w14:paraId="3AD2549D" w14:textId="77777777" w:rsidR="00886A6B" w:rsidRPr="002E5414" w:rsidRDefault="00886A6B" w:rsidP="00886A6B">
      <w:pPr>
        <w:rPr>
          <w:color w:val="000000" w:themeColor="text1"/>
        </w:rPr>
      </w:pPr>
    </w:p>
    <w:p w14:paraId="3204D058" w14:textId="77777777" w:rsidR="00886A6B" w:rsidRPr="002E5414" w:rsidRDefault="00886A6B" w:rsidP="00886A6B">
      <w:pPr>
        <w:rPr>
          <w:color w:val="000000" w:themeColor="text1"/>
        </w:rPr>
      </w:pPr>
    </w:p>
    <w:p w14:paraId="7DB99A7B" w14:textId="77777777" w:rsidR="00886A6B" w:rsidRPr="002E5414" w:rsidRDefault="00886A6B" w:rsidP="00886A6B">
      <w:pPr>
        <w:pStyle w:val="Heading3"/>
        <w:spacing w:line="360" w:lineRule="auto"/>
        <w:jc w:val="center"/>
        <w:rPr>
          <w:color w:val="000000" w:themeColor="text1"/>
        </w:rPr>
      </w:pPr>
      <w:r w:rsidRPr="002E5414">
        <w:rPr>
          <w:color w:val="000000" w:themeColor="text1"/>
        </w:rPr>
        <w:t>LIST OF THE AUTHOR'S PUBLICATIONS RELATED TO THE DISSERTATION</w:t>
      </w:r>
    </w:p>
    <w:p w14:paraId="54684AB5" w14:textId="77777777" w:rsidR="00886A6B" w:rsidRPr="002E5414" w:rsidRDefault="00886A6B" w:rsidP="00886A6B">
      <w:pPr>
        <w:pStyle w:val="ListParagraph"/>
        <w:numPr>
          <w:ilvl w:val="0"/>
          <w:numId w:val="11"/>
        </w:numPr>
        <w:spacing w:after="160" w:line="360" w:lineRule="auto"/>
        <w:ind w:left="426" w:hanging="426"/>
        <w:contextualSpacing/>
        <w:jc w:val="both"/>
        <w:rPr>
          <w:color w:val="000000" w:themeColor="text1"/>
          <w:sz w:val="26"/>
          <w:szCs w:val="26"/>
        </w:rPr>
      </w:pPr>
      <w:r w:rsidRPr="002E5414">
        <w:rPr>
          <w:color w:val="000000" w:themeColor="text1"/>
          <w:sz w:val="26"/>
          <w:szCs w:val="26"/>
        </w:rPr>
        <w:t xml:space="preserve">Tran Thi Tuyet Hanh, Ngo Thi Thu Hong, Bui Thi Thu Huong, &amp; Phan Thi Kieu (2025). </w:t>
      </w:r>
      <w:r w:rsidRPr="002E5414">
        <w:rPr>
          <w:i/>
          <w:iCs/>
          <w:color w:val="000000" w:themeColor="text1"/>
          <w:sz w:val="26"/>
          <w:szCs w:val="26"/>
        </w:rPr>
        <w:t xml:space="preserve">Improving the Organization of Accounting Work at Public Service Units in the Mekong Delta </w:t>
      </w:r>
      <w:bookmarkStart w:id="3" w:name="_GoBack"/>
      <w:bookmarkEnd w:id="3"/>
      <w:r w:rsidRPr="002E5414">
        <w:rPr>
          <w:i/>
          <w:iCs/>
          <w:color w:val="000000" w:themeColor="text1"/>
          <w:sz w:val="26"/>
          <w:szCs w:val="26"/>
        </w:rPr>
        <w:t>Region</w:t>
      </w:r>
      <w:r w:rsidRPr="002E5414">
        <w:rPr>
          <w:color w:val="000000" w:themeColor="text1"/>
          <w:sz w:val="26"/>
          <w:szCs w:val="26"/>
        </w:rPr>
        <w:t>. Vietnam Economic &amp; Financial Review, No. 8, pp. 160–164.</w:t>
      </w:r>
    </w:p>
    <w:p w14:paraId="4006DC7E" w14:textId="77777777" w:rsidR="00886A6B" w:rsidRPr="002E5414" w:rsidRDefault="00886A6B" w:rsidP="00886A6B">
      <w:pPr>
        <w:pStyle w:val="ListParagraph"/>
        <w:numPr>
          <w:ilvl w:val="0"/>
          <w:numId w:val="11"/>
        </w:numPr>
        <w:spacing w:after="160" w:line="360" w:lineRule="auto"/>
        <w:ind w:left="426" w:hanging="426"/>
        <w:contextualSpacing/>
        <w:jc w:val="both"/>
        <w:rPr>
          <w:color w:val="000000" w:themeColor="text1"/>
          <w:sz w:val="26"/>
          <w:szCs w:val="26"/>
        </w:rPr>
      </w:pPr>
      <w:r w:rsidRPr="002E5414">
        <w:rPr>
          <w:color w:val="000000" w:themeColor="text1"/>
          <w:sz w:val="26"/>
          <w:szCs w:val="26"/>
        </w:rPr>
        <w:t xml:space="preserve">Tran Thi Tuyet Hanh, Pham Van Ca, Nguyen Thi Thanh Thuy, Nguyen Thanh Nguyen, &amp; Nguyen Thi Diem Trinh (2026). </w:t>
      </w:r>
      <w:r w:rsidRPr="002E5414">
        <w:rPr>
          <w:i/>
          <w:iCs/>
          <w:color w:val="000000" w:themeColor="text1"/>
          <w:sz w:val="26"/>
          <w:szCs w:val="26"/>
        </w:rPr>
        <w:t>Determinants of Accounting Work in Public Hospitals in the Mekong Delta Region</w:t>
      </w:r>
      <w:r w:rsidRPr="002E5414">
        <w:rPr>
          <w:color w:val="000000" w:themeColor="text1"/>
          <w:sz w:val="26"/>
          <w:szCs w:val="26"/>
        </w:rPr>
        <w:t>. Vietnam Economic &amp; Financial Review, No. 10, pp. 160–164.</w:t>
      </w:r>
    </w:p>
    <w:p w14:paraId="6245A656" w14:textId="77777777" w:rsidR="00886A6B" w:rsidRPr="002E5414" w:rsidRDefault="00886A6B" w:rsidP="00886A6B">
      <w:pPr>
        <w:pStyle w:val="ListParagraph"/>
        <w:numPr>
          <w:ilvl w:val="0"/>
          <w:numId w:val="11"/>
        </w:numPr>
        <w:spacing w:after="160" w:line="360" w:lineRule="auto"/>
        <w:ind w:left="426" w:hanging="426"/>
        <w:contextualSpacing/>
        <w:jc w:val="both"/>
        <w:rPr>
          <w:color w:val="000000" w:themeColor="text1"/>
          <w:sz w:val="26"/>
          <w:szCs w:val="26"/>
        </w:rPr>
      </w:pPr>
      <w:r w:rsidRPr="002E5414">
        <w:rPr>
          <w:color w:val="000000" w:themeColor="text1"/>
          <w:sz w:val="26"/>
          <w:szCs w:val="26"/>
        </w:rPr>
        <w:t xml:space="preserve">Tran Thi Tuyet Hanh, Bui Thi Thu Huong, Pham Van Ca, &amp; Nguyen Thi Kim Chi (2026). </w:t>
      </w:r>
      <w:r w:rsidRPr="002E5414">
        <w:rPr>
          <w:i/>
          <w:iCs/>
          <w:color w:val="000000" w:themeColor="text1"/>
          <w:sz w:val="26"/>
          <w:szCs w:val="26"/>
        </w:rPr>
        <w:t>Financial Statements in Public Hospitals: Current Status and Solutions from the Perspective of Tra Vinh University Hospital</w:t>
      </w:r>
      <w:r w:rsidRPr="002E5414">
        <w:rPr>
          <w:color w:val="000000" w:themeColor="text1"/>
          <w:sz w:val="26"/>
          <w:szCs w:val="26"/>
        </w:rPr>
        <w:t>. Journal of Finance &amp; Accounting Research, No. 308, pp. 70–73.</w:t>
      </w:r>
    </w:p>
    <w:p w14:paraId="19210C16" w14:textId="4734C03F" w:rsidR="00EF1D58" w:rsidRPr="002E5414" w:rsidRDefault="00886A6B" w:rsidP="004F1641">
      <w:pPr>
        <w:pStyle w:val="ListParagraph"/>
        <w:numPr>
          <w:ilvl w:val="0"/>
          <w:numId w:val="11"/>
        </w:numPr>
        <w:spacing w:after="160" w:line="360" w:lineRule="auto"/>
        <w:ind w:left="426" w:hanging="426"/>
        <w:contextualSpacing/>
        <w:jc w:val="both"/>
        <w:rPr>
          <w:color w:val="000000" w:themeColor="text1"/>
          <w:szCs w:val="26"/>
        </w:rPr>
      </w:pPr>
      <w:r w:rsidRPr="002E5414">
        <w:rPr>
          <w:color w:val="000000" w:themeColor="text1"/>
          <w:sz w:val="26"/>
          <w:szCs w:val="26"/>
        </w:rPr>
        <w:t xml:space="preserve">Tran Thi Tuyet Hanh, Ngo Thi Thu Hong, Bui Thi Thu Huong, &amp; Pham Van Ca (2026). </w:t>
      </w:r>
      <w:r w:rsidRPr="002E5414">
        <w:rPr>
          <w:i/>
          <w:iCs/>
          <w:color w:val="000000" w:themeColor="text1"/>
          <w:sz w:val="26"/>
          <w:szCs w:val="26"/>
        </w:rPr>
        <w:t>Organizing Public Sector Accounting in Vietnam: From a Theoretical Overview to Research Gaps and Development Directions</w:t>
      </w:r>
      <w:r w:rsidRPr="002E5414">
        <w:rPr>
          <w:color w:val="000000" w:themeColor="text1"/>
          <w:sz w:val="26"/>
          <w:szCs w:val="26"/>
        </w:rPr>
        <w:t>. Journal of Finance &amp; Accounting Research, No. 312, pp. 67–70.</w:t>
      </w:r>
    </w:p>
    <w:sectPr w:rsidR="00EF1D58" w:rsidRPr="002E5414" w:rsidSect="00CD737D">
      <w:headerReference w:type="first" r:id="rId13"/>
      <w:pgSz w:w="11909" w:h="16834" w:code="9"/>
      <w:pgMar w:top="828" w:right="1021" w:bottom="851" w:left="1814" w:header="425" w:footer="66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9E26C" w14:textId="77777777" w:rsidR="00D12E9D" w:rsidRDefault="00D12E9D">
      <w:r>
        <w:separator/>
      </w:r>
    </w:p>
  </w:endnote>
  <w:endnote w:type="continuationSeparator" w:id="0">
    <w:p w14:paraId="06B70131" w14:textId="77777777" w:rsidR="00D12E9D" w:rsidRDefault="00D1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7433" w14:textId="404748FE" w:rsidR="00557BFD" w:rsidRPr="002C13C2" w:rsidRDefault="00557BFD" w:rsidP="002C13C2">
    <w:pPr>
      <w:pStyle w:val="Footer"/>
      <w:spacing w:before="160"/>
      <w:jc w:val="center"/>
      <w:rPr>
        <w:rFonts w:ascii="Times New Roman" w:hAnsi="Times New Roman"/>
        <w:caps/>
        <w:noProof/>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799F4" w14:textId="54ADB7D1" w:rsidR="00557BFD" w:rsidRPr="00144CE5" w:rsidRDefault="00557BFD">
    <w:pPr>
      <w:pStyle w:val="Footer"/>
      <w:jc w:val="center"/>
      <w:rPr>
        <w:rFonts w:ascii="Times New Roman" w:hAnsi="Times New Roman" w:cs="Times New Roman"/>
      </w:rPr>
    </w:pPr>
  </w:p>
  <w:p w14:paraId="02428729" w14:textId="2D60D1A6" w:rsidR="00557BFD" w:rsidRDefault="00557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8F77E" w14:textId="77777777" w:rsidR="00D12E9D" w:rsidRDefault="00D12E9D">
      <w:r>
        <w:separator/>
      </w:r>
    </w:p>
  </w:footnote>
  <w:footnote w:type="continuationSeparator" w:id="0">
    <w:p w14:paraId="00153C17" w14:textId="77777777" w:rsidR="00D12E9D" w:rsidRDefault="00D12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071387"/>
      <w:docPartObj>
        <w:docPartGallery w:val="Page Numbers (Top of Page)"/>
        <w:docPartUnique/>
      </w:docPartObj>
    </w:sdtPr>
    <w:sdtEndPr>
      <w:rPr>
        <w:rFonts w:ascii="Times New Roman" w:hAnsi="Times New Roman" w:cs="Times New Roman"/>
        <w:noProof/>
      </w:rPr>
    </w:sdtEndPr>
    <w:sdtContent>
      <w:p w14:paraId="6114CA5C" w14:textId="6AC26D3F" w:rsidR="00557BFD" w:rsidRPr="00F20C36" w:rsidRDefault="00557BFD">
        <w:pPr>
          <w:pStyle w:val="Header"/>
          <w:jc w:val="center"/>
          <w:rPr>
            <w:rFonts w:ascii="Times New Roman" w:hAnsi="Times New Roman" w:cs="Times New Roman"/>
          </w:rPr>
        </w:pPr>
        <w:r w:rsidRPr="00F20C36">
          <w:rPr>
            <w:rFonts w:ascii="Times New Roman" w:hAnsi="Times New Roman" w:cs="Times New Roman"/>
          </w:rPr>
          <w:fldChar w:fldCharType="begin"/>
        </w:r>
        <w:r w:rsidRPr="00F20C36">
          <w:rPr>
            <w:rFonts w:ascii="Times New Roman" w:hAnsi="Times New Roman" w:cs="Times New Roman"/>
          </w:rPr>
          <w:instrText xml:space="preserve"> PAGE   \* MERGEFORMAT </w:instrText>
        </w:r>
        <w:r w:rsidRPr="00F20C36">
          <w:rPr>
            <w:rFonts w:ascii="Times New Roman" w:hAnsi="Times New Roman" w:cs="Times New Roman"/>
          </w:rPr>
          <w:fldChar w:fldCharType="separate"/>
        </w:r>
        <w:r w:rsidRPr="00F20C36">
          <w:rPr>
            <w:rFonts w:ascii="Times New Roman" w:hAnsi="Times New Roman" w:cs="Times New Roman"/>
            <w:noProof/>
          </w:rPr>
          <w:t>2</w:t>
        </w:r>
        <w:r w:rsidRPr="00F20C36">
          <w:rPr>
            <w:rFonts w:ascii="Times New Roman" w:hAnsi="Times New Roman" w:cs="Times New Roman"/>
            <w:noProof/>
          </w:rPr>
          <w:fldChar w:fldCharType="end"/>
        </w:r>
      </w:p>
    </w:sdtContent>
  </w:sdt>
  <w:p w14:paraId="25AF2E5D" w14:textId="77777777" w:rsidR="00557BFD" w:rsidRPr="009A2ECA" w:rsidRDefault="00557BFD" w:rsidP="008148AB">
    <w:pPr>
      <w:pStyle w:val="Header"/>
      <w:tabs>
        <w:tab w:val="clear" w:pos="8640"/>
        <w:tab w:val="right" w:pos="7920"/>
      </w:tabs>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E0FD9" w14:textId="0E07D7DF" w:rsidR="00557BFD" w:rsidRPr="00514D6F" w:rsidRDefault="00557BFD" w:rsidP="00514D6F">
    <w:pPr>
      <w:pStyle w:val="Header"/>
      <w:jc w:val="center"/>
      <w:rPr>
        <w:rFonts w:ascii="Times New Roman" w:hAnsi="Times New Roman" w:cs="Times New Roman"/>
        <w: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7F703" w14:textId="77777777" w:rsidR="00557BFD" w:rsidRPr="00514D6F" w:rsidRDefault="00557BFD" w:rsidP="00514D6F">
    <w:pPr>
      <w:pStyle w:val="Header"/>
      <w:jc w:val="center"/>
      <w:rPr>
        <w:rFonts w:ascii="Times New Roman" w:hAnsi="Times New Roman" w:cs="Times New Roman"/>
        <w:i/>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5033D" w14:textId="17EA2377" w:rsidR="00557BFD" w:rsidRPr="00B4072D" w:rsidRDefault="00557BFD" w:rsidP="00514D6F">
    <w:pPr>
      <w:pStyle w:val="Header"/>
      <w:jc w:val="center"/>
      <w:rPr>
        <w:rFonts w:ascii="Times New Roman" w:hAnsi="Times New Roman" w:cs="Times New Roman"/>
        <w:iCs/>
        <w:sz w:val="24"/>
      </w:rPr>
    </w:pPr>
    <w:r w:rsidRPr="00B4072D">
      <w:rPr>
        <w:rFonts w:ascii="Times New Roman" w:hAnsi="Times New Roman" w:cs="Times New Roman"/>
        <w:iCs/>
        <w:sz w:val="24"/>
      </w:rPr>
      <w:fldChar w:fldCharType="begin"/>
    </w:r>
    <w:r w:rsidRPr="00B4072D">
      <w:rPr>
        <w:rFonts w:ascii="Times New Roman" w:hAnsi="Times New Roman" w:cs="Times New Roman"/>
        <w:iCs/>
        <w:sz w:val="24"/>
      </w:rPr>
      <w:instrText xml:space="preserve"> PAGE   \* MERGEFORMAT </w:instrText>
    </w:r>
    <w:r w:rsidRPr="00B4072D">
      <w:rPr>
        <w:rFonts w:ascii="Times New Roman" w:hAnsi="Times New Roman" w:cs="Times New Roman"/>
        <w:iCs/>
        <w:sz w:val="24"/>
      </w:rPr>
      <w:fldChar w:fldCharType="separate"/>
    </w:r>
    <w:r w:rsidRPr="00B4072D">
      <w:rPr>
        <w:rFonts w:ascii="Times New Roman" w:hAnsi="Times New Roman" w:cs="Times New Roman"/>
        <w:iCs/>
        <w:noProof/>
        <w:sz w:val="24"/>
      </w:rPr>
      <w:t>1</w:t>
    </w:r>
    <w:r w:rsidRPr="00B4072D">
      <w:rPr>
        <w:rFonts w:ascii="Times New Roman" w:hAnsi="Times New Roman" w:cs="Times New Roman"/>
        <w:iCs/>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17A73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07695"/>
    <w:multiLevelType w:val="multilevel"/>
    <w:tmpl w:val="60BED738"/>
    <w:lvl w:ilvl="0">
      <w:start w:val="1"/>
      <w:numFmt w:val="decimal"/>
      <w:pStyle w:val="chuong"/>
      <w:lvlText w:val="CHƯƠNG %1."/>
      <w:lvlJc w:val="left"/>
      <w:pPr>
        <w:ind w:left="113" w:hanging="113"/>
      </w:pPr>
    </w:lvl>
    <w:lvl w:ilvl="1">
      <w:start w:val="1"/>
      <w:numFmt w:val="decimal"/>
      <w:lvlText w:val="%1.%2"/>
      <w:lvlJc w:val="left"/>
      <w:pPr>
        <w:ind w:left="360" w:hanging="360"/>
      </w:pPr>
    </w:lvl>
    <w:lvl w:ilvl="2">
      <w:start w:val="1"/>
      <w:numFmt w:val="decimal"/>
      <w:lvlText w:val="%1.%2.%3"/>
      <w:lvlJc w:val="left"/>
      <w:pPr>
        <w:ind w:left="92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D00251"/>
    <w:multiLevelType w:val="hybridMultilevel"/>
    <w:tmpl w:val="FF0E4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E7C62"/>
    <w:multiLevelType w:val="hybridMultilevel"/>
    <w:tmpl w:val="275EB4C4"/>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9EB1F0A"/>
    <w:multiLevelType w:val="hybridMultilevel"/>
    <w:tmpl w:val="DA7C43BC"/>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5E6761D"/>
    <w:multiLevelType w:val="hybridMultilevel"/>
    <w:tmpl w:val="58E0DE34"/>
    <w:lvl w:ilvl="0" w:tplc="170457A8">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15:restartNumberingAfterBreak="0">
    <w:nsid w:val="6A77148F"/>
    <w:multiLevelType w:val="hybridMultilevel"/>
    <w:tmpl w:val="E6168668"/>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6BE21E97"/>
    <w:multiLevelType w:val="multilevel"/>
    <w:tmpl w:val="5A34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AB6F22"/>
    <w:multiLevelType w:val="hybridMultilevel"/>
    <w:tmpl w:val="39D06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0418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43"/>
    <w:multiLevelType w:val="multilevel"/>
    <w:tmpl w:val="71040DCE"/>
    <w:lvl w:ilvl="0">
      <w:start w:val="1"/>
      <w:numFmt w:val="decimal"/>
      <w:pStyle w:val="Style1"/>
      <w:lvlText w:val="CHƯƠNG %1."/>
      <w:lvlJc w:val="left"/>
      <w:pPr>
        <w:ind w:left="360" w:hanging="360"/>
      </w:pPr>
      <w:rPr>
        <w:rFonts w:hint="default"/>
      </w:rPr>
    </w:lvl>
    <w:lvl w:ilvl="1">
      <w:start w:val="1"/>
      <w:numFmt w:val="decimal"/>
      <w:pStyle w:val="Style2"/>
      <w:lvlText w:val="%1.%2."/>
      <w:lvlJc w:val="left"/>
      <w:pPr>
        <w:ind w:left="5292" w:hanging="432"/>
      </w:pPr>
    </w:lvl>
    <w:lvl w:ilvl="2">
      <w:start w:val="1"/>
      <w:numFmt w:val="decimal"/>
      <w:pStyle w:val="Style3"/>
      <w:lvlText w:val="%1.%2.%3."/>
      <w:lvlJc w:val="left"/>
      <w:pPr>
        <w:ind w:left="6264" w:hanging="504"/>
      </w:pPr>
    </w:lvl>
    <w:lvl w:ilvl="3">
      <w:start w:val="1"/>
      <w:numFmt w:val="decimal"/>
      <w:pStyle w:val="Styl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5"/>
  </w:num>
  <w:num w:numId="7">
    <w:abstractNumId w:val="8"/>
  </w:num>
  <w:num w:numId="8">
    <w:abstractNumId w:val="7"/>
  </w:num>
  <w:num w:numId="9">
    <w:abstractNumId w:val="6"/>
  </w:num>
  <w:num w:numId="10">
    <w:abstractNumId w:val="3"/>
  </w:num>
  <w:num w:numId="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A2"/>
    <w:rsid w:val="0000034D"/>
    <w:rsid w:val="00000C03"/>
    <w:rsid w:val="00000F96"/>
    <w:rsid w:val="0000166D"/>
    <w:rsid w:val="00001883"/>
    <w:rsid w:val="00002E94"/>
    <w:rsid w:val="00003B11"/>
    <w:rsid w:val="00004687"/>
    <w:rsid w:val="00004B95"/>
    <w:rsid w:val="00004D97"/>
    <w:rsid w:val="000063DF"/>
    <w:rsid w:val="000066B9"/>
    <w:rsid w:val="00007CEC"/>
    <w:rsid w:val="00010170"/>
    <w:rsid w:val="000104E4"/>
    <w:rsid w:val="000122A4"/>
    <w:rsid w:val="00013124"/>
    <w:rsid w:val="000131BD"/>
    <w:rsid w:val="000141DA"/>
    <w:rsid w:val="00014ABA"/>
    <w:rsid w:val="000157C8"/>
    <w:rsid w:val="00016836"/>
    <w:rsid w:val="00016AFD"/>
    <w:rsid w:val="00017603"/>
    <w:rsid w:val="00017F6B"/>
    <w:rsid w:val="00020695"/>
    <w:rsid w:val="0002116C"/>
    <w:rsid w:val="00021D69"/>
    <w:rsid w:val="000221C2"/>
    <w:rsid w:val="00022935"/>
    <w:rsid w:val="00024866"/>
    <w:rsid w:val="000248AF"/>
    <w:rsid w:val="00024AF6"/>
    <w:rsid w:val="00025EAD"/>
    <w:rsid w:val="00026A69"/>
    <w:rsid w:val="0002790B"/>
    <w:rsid w:val="00027E88"/>
    <w:rsid w:val="00030550"/>
    <w:rsid w:val="00030581"/>
    <w:rsid w:val="000307CC"/>
    <w:rsid w:val="0003129E"/>
    <w:rsid w:val="00031B57"/>
    <w:rsid w:val="00032F7A"/>
    <w:rsid w:val="00032FDA"/>
    <w:rsid w:val="00034025"/>
    <w:rsid w:val="000342DF"/>
    <w:rsid w:val="00034A4C"/>
    <w:rsid w:val="00035559"/>
    <w:rsid w:val="00036041"/>
    <w:rsid w:val="00036439"/>
    <w:rsid w:val="00036C99"/>
    <w:rsid w:val="00036ECD"/>
    <w:rsid w:val="00036F19"/>
    <w:rsid w:val="000412F1"/>
    <w:rsid w:val="00041535"/>
    <w:rsid w:val="00041F05"/>
    <w:rsid w:val="00043900"/>
    <w:rsid w:val="00043CF8"/>
    <w:rsid w:val="00043F14"/>
    <w:rsid w:val="0004497D"/>
    <w:rsid w:val="00045BA7"/>
    <w:rsid w:val="00045EC5"/>
    <w:rsid w:val="00046597"/>
    <w:rsid w:val="0004726E"/>
    <w:rsid w:val="00047588"/>
    <w:rsid w:val="00047BA6"/>
    <w:rsid w:val="00050928"/>
    <w:rsid w:val="00050DDC"/>
    <w:rsid w:val="000517C6"/>
    <w:rsid w:val="0005264B"/>
    <w:rsid w:val="000527FD"/>
    <w:rsid w:val="00052EB1"/>
    <w:rsid w:val="000533C7"/>
    <w:rsid w:val="00056CE2"/>
    <w:rsid w:val="000570E9"/>
    <w:rsid w:val="00057B21"/>
    <w:rsid w:val="00060859"/>
    <w:rsid w:val="0006097B"/>
    <w:rsid w:val="0006214E"/>
    <w:rsid w:val="00062536"/>
    <w:rsid w:val="000628F6"/>
    <w:rsid w:val="000644F5"/>
    <w:rsid w:val="00064DA4"/>
    <w:rsid w:val="0006523F"/>
    <w:rsid w:val="000662CB"/>
    <w:rsid w:val="00066633"/>
    <w:rsid w:val="0006726E"/>
    <w:rsid w:val="00067E17"/>
    <w:rsid w:val="0007067A"/>
    <w:rsid w:val="00070C7D"/>
    <w:rsid w:val="000726CC"/>
    <w:rsid w:val="000726FB"/>
    <w:rsid w:val="00072C18"/>
    <w:rsid w:val="00072CED"/>
    <w:rsid w:val="0007346F"/>
    <w:rsid w:val="000744A9"/>
    <w:rsid w:val="00074C1E"/>
    <w:rsid w:val="00074D83"/>
    <w:rsid w:val="000765D2"/>
    <w:rsid w:val="000768E4"/>
    <w:rsid w:val="00080529"/>
    <w:rsid w:val="00080607"/>
    <w:rsid w:val="00081829"/>
    <w:rsid w:val="00082401"/>
    <w:rsid w:val="00085CB1"/>
    <w:rsid w:val="00085FF4"/>
    <w:rsid w:val="00091B10"/>
    <w:rsid w:val="00092B8C"/>
    <w:rsid w:val="00092BC3"/>
    <w:rsid w:val="0009371F"/>
    <w:rsid w:val="00093923"/>
    <w:rsid w:val="00093D6E"/>
    <w:rsid w:val="00093D72"/>
    <w:rsid w:val="00093D8D"/>
    <w:rsid w:val="000944E3"/>
    <w:rsid w:val="0009506D"/>
    <w:rsid w:val="0009538B"/>
    <w:rsid w:val="00095980"/>
    <w:rsid w:val="00096C46"/>
    <w:rsid w:val="00096FF4"/>
    <w:rsid w:val="000971E4"/>
    <w:rsid w:val="000973ED"/>
    <w:rsid w:val="0009782B"/>
    <w:rsid w:val="00097DFD"/>
    <w:rsid w:val="00097E87"/>
    <w:rsid w:val="000A0D69"/>
    <w:rsid w:val="000A16BA"/>
    <w:rsid w:val="000A1D46"/>
    <w:rsid w:val="000A20DC"/>
    <w:rsid w:val="000A298F"/>
    <w:rsid w:val="000A3914"/>
    <w:rsid w:val="000A3C20"/>
    <w:rsid w:val="000A5426"/>
    <w:rsid w:val="000A5C7F"/>
    <w:rsid w:val="000A79BA"/>
    <w:rsid w:val="000A7DFE"/>
    <w:rsid w:val="000A7F78"/>
    <w:rsid w:val="000B04EC"/>
    <w:rsid w:val="000B0A65"/>
    <w:rsid w:val="000B0E53"/>
    <w:rsid w:val="000B12A3"/>
    <w:rsid w:val="000B13B8"/>
    <w:rsid w:val="000B267D"/>
    <w:rsid w:val="000B2EDA"/>
    <w:rsid w:val="000B321D"/>
    <w:rsid w:val="000B45A7"/>
    <w:rsid w:val="000B5744"/>
    <w:rsid w:val="000B59C7"/>
    <w:rsid w:val="000B69D9"/>
    <w:rsid w:val="000B7B8D"/>
    <w:rsid w:val="000C08F2"/>
    <w:rsid w:val="000C157F"/>
    <w:rsid w:val="000C1BA4"/>
    <w:rsid w:val="000C2516"/>
    <w:rsid w:val="000C33C3"/>
    <w:rsid w:val="000C5343"/>
    <w:rsid w:val="000C551F"/>
    <w:rsid w:val="000C5B0B"/>
    <w:rsid w:val="000C6EDA"/>
    <w:rsid w:val="000C7D3B"/>
    <w:rsid w:val="000C7D5D"/>
    <w:rsid w:val="000C7FA5"/>
    <w:rsid w:val="000D043B"/>
    <w:rsid w:val="000D0F46"/>
    <w:rsid w:val="000D1094"/>
    <w:rsid w:val="000D202B"/>
    <w:rsid w:val="000D26F3"/>
    <w:rsid w:val="000D291A"/>
    <w:rsid w:val="000D2D36"/>
    <w:rsid w:val="000D306A"/>
    <w:rsid w:val="000D3CD9"/>
    <w:rsid w:val="000D3E28"/>
    <w:rsid w:val="000D3F87"/>
    <w:rsid w:val="000D4AD4"/>
    <w:rsid w:val="000D4EC3"/>
    <w:rsid w:val="000E01D5"/>
    <w:rsid w:val="000E0986"/>
    <w:rsid w:val="000E1260"/>
    <w:rsid w:val="000E1D43"/>
    <w:rsid w:val="000E2A8A"/>
    <w:rsid w:val="000E2C5D"/>
    <w:rsid w:val="000E35CA"/>
    <w:rsid w:val="000E4B37"/>
    <w:rsid w:val="000E4C17"/>
    <w:rsid w:val="000E52BF"/>
    <w:rsid w:val="000E593E"/>
    <w:rsid w:val="000E700C"/>
    <w:rsid w:val="000F17AD"/>
    <w:rsid w:val="000F357B"/>
    <w:rsid w:val="000F5148"/>
    <w:rsid w:val="000F53BA"/>
    <w:rsid w:val="000F54BF"/>
    <w:rsid w:val="000F6E1E"/>
    <w:rsid w:val="000F7398"/>
    <w:rsid w:val="000F7E66"/>
    <w:rsid w:val="000F7FD4"/>
    <w:rsid w:val="0010040B"/>
    <w:rsid w:val="00102052"/>
    <w:rsid w:val="00105CB6"/>
    <w:rsid w:val="00105D6F"/>
    <w:rsid w:val="0010660A"/>
    <w:rsid w:val="001068FD"/>
    <w:rsid w:val="00107503"/>
    <w:rsid w:val="001078D5"/>
    <w:rsid w:val="00111321"/>
    <w:rsid w:val="00111A11"/>
    <w:rsid w:val="00111DDB"/>
    <w:rsid w:val="00111EF9"/>
    <w:rsid w:val="00112EA9"/>
    <w:rsid w:val="001136AC"/>
    <w:rsid w:val="00113DA9"/>
    <w:rsid w:val="00114E6B"/>
    <w:rsid w:val="0011566E"/>
    <w:rsid w:val="001165B3"/>
    <w:rsid w:val="00116927"/>
    <w:rsid w:val="00116BD7"/>
    <w:rsid w:val="001170C9"/>
    <w:rsid w:val="0011759D"/>
    <w:rsid w:val="0011773D"/>
    <w:rsid w:val="00117D53"/>
    <w:rsid w:val="001244E6"/>
    <w:rsid w:val="00125040"/>
    <w:rsid w:val="00125C79"/>
    <w:rsid w:val="00125F70"/>
    <w:rsid w:val="00126CBE"/>
    <w:rsid w:val="00130146"/>
    <w:rsid w:val="0013345B"/>
    <w:rsid w:val="00133BB4"/>
    <w:rsid w:val="00135073"/>
    <w:rsid w:val="00135219"/>
    <w:rsid w:val="00135E35"/>
    <w:rsid w:val="0013603E"/>
    <w:rsid w:val="00136265"/>
    <w:rsid w:val="0013665E"/>
    <w:rsid w:val="001373E6"/>
    <w:rsid w:val="00137D3C"/>
    <w:rsid w:val="00137DDA"/>
    <w:rsid w:val="00137FB2"/>
    <w:rsid w:val="00141147"/>
    <w:rsid w:val="00141151"/>
    <w:rsid w:val="0014244C"/>
    <w:rsid w:val="00143C82"/>
    <w:rsid w:val="00143D22"/>
    <w:rsid w:val="00144B71"/>
    <w:rsid w:val="00144CE5"/>
    <w:rsid w:val="00145825"/>
    <w:rsid w:val="00146585"/>
    <w:rsid w:val="001465D7"/>
    <w:rsid w:val="0014786A"/>
    <w:rsid w:val="0014789E"/>
    <w:rsid w:val="00150229"/>
    <w:rsid w:val="00150642"/>
    <w:rsid w:val="00150727"/>
    <w:rsid w:val="00150A4D"/>
    <w:rsid w:val="001520D6"/>
    <w:rsid w:val="001521D3"/>
    <w:rsid w:val="00152887"/>
    <w:rsid w:val="00153E85"/>
    <w:rsid w:val="00154288"/>
    <w:rsid w:val="0015655D"/>
    <w:rsid w:val="00156EA4"/>
    <w:rsid w:val="0015786E"/>
    <w:rsid w:val="00157B36"/>
    <w:rsid w:val="00160719"/>
    <w:rsid w:val="00160BA4"/>
    <w:rsid w:val="00160DBB"/>
    <w:rsid w:val="001611E0"/>
    <w:rsid w:val="00161393"/>
    <w:rsid w:val="001614C5"/>
    <w:rsid w:val="001614DC"/>
    <w:rsid w:val="0016207C"/>
    <w:rsid w:val="00162F2E"/>
    <w:rsid w:val="00164203"/>
    <w:rsid w:val="00165000"/>
    <w:rsid w:val="00165943"/>
    <w:rsid w:val="001660AB"/>
    <w:rsid w:val="0016617E"/>
    <w:rsid w:val="001662BD"/>
    <w:rsid w:val="00167158"/>
    <w:rsid w:val="00167A87"/>
    <w:rsid w:val="00170239"/>
    <w:rsid w:val="001724BC"/>
    <w:rsid w:val="001725DF"/>
    <w:rsid w:val="00172C6B"/>
    <w:rsid w:val="0017383F"/>
    <w:rsid w:val="00175CB1"/>
    <w:rsid w:val="00176D6E"/>
    <w:rsid w:val="0017798F"/>
    <w:rsid w:val="001779B6"/>
    <w:rsid w:val="001779C8"/>
    <w:rsid w:val="001800BC"/>
    <w:rsid w:val="00181573"/>
    <w:rsid w:val="00181D28"/>
    <w:rsid w:val="00181E85"/>
    <w:rsid w:val="001824C7"/>
    <w:rsid w:val="00183AC8"/>
    <w:rsid w:val="00184D3D"/>
    <w:rsid w:val="00184ED1"/>
    <w:rsid w:val="001859F3"/>
    <w:rsid w:val="0018683C"/>
    <w:rsid w:val="0018737F"/>
    <w:rsid w:val="001908AE"/>
    <w:rsid w:val="00190AE1"/>
    <w:rsid w:val="001916D6"/>
    <w:rsid w:val="00191B0D"/>
    <w:rsid w:val="0019273E"/>
    <w:rsid w:val="00193488"/>
    <w:rsid w:val="001938A6"/>
    <w:rsid w:val="00194A4E"/>
    <w:rsid w:val="00194BEE"/>
    <w:rsid w:val="00194D89"/>
    <w:rsid w:val="00194E90"/>
    <w:rsid w:val="00195EA0"/>
    <w:rsid w:val="00196F5D"/>
    <w:rsid w:val="00197585"/>
    <w:rsid w:val="00197B63"/>
    <w:rsid w:val="001A0032"/>
    <w:rsid w:val="001A0415"/>
    <w:rsid w:val="001A256A"/>
    <w:rsid w:val="001A2C65"/>
    <w:rsid w:val="001A342A"/>
    <w:rsid w:val="001A459F"/>
    <w:rsid w:val="001A45E2"/>
    <w:rsid w:val="001A4C7A"/>
    <w:rsid w:val="001A5D22"/>
    <w:rsid w:val="001A6D15"/>
    <w:rsid w:val="001A7123"/>
    <w:rsid w:val="001B0150"/>
    <w:rsid w:val="001B119B"/>
    <w:rsid w:val="001B1780"/>
    <w:rsid w:val="001B1997"/>
    <w:rsid w:val="001B20A0"/>
    <w:rsid w:val="001B2745"/>
    <w:rsid w:val="001B330B"/>
    <w:rsid w:val="001B33E3"/>
    <w:rsid w:val="001B3D3A"/>
    <w:rsid w:val="001B48B5"/>
    <w:rsid w:val="001B4C6A"/>
    <w:rsid w:val="001B6BDB"/>
    <w:rsid w:val="001B6FD0"/>
    <w:rsid w:val="001B76E5"/>
    <w:rsid w:val="001C003D"/>
    <w:rsid w:val="001C0949"/>
    <w:rsid w:val="001C0A44"/>
    <w:rsid w:val="001C1E3E"/>
    <w:rsid w:val="001C21FA"/>
    <w:rsid w:val="001C2611"/>
    <w:rsid w:val="001C27C7"/>
    <w:rsid w:val="001C2E4F"/>
    <w:rsid w:val="001C2E61"/>
    <w:rsid w:val="001C37E8"/>
    <w:rsid w:val="001C4865"/>
    <w:rsid w:val="001C6037"/>
    <w:rsid w:val="001C6861"/>
    <w:rsid w:val="001C79DA"/>
    <w:rsid w:val="001D37D8"/>
    <w:rsid w:val="001D3E34"/>
    <w:rsid w:val="001D5130"/>
    <w:rsid w:val="001D5915"/>
    <w:rsid w:val="001D5D68"/>
    <w:rsid w:val="001D675F"/>
    <w:rsid w:val="001D694D"/>
    <w:rsid w:val="001D6A06"/>
    <w:rsid w:val="001E0879"/>
    <w:rsid w:val="001E0AC7"/>
    <w:rsid w:val="001E0C32"/>
    <w:rsid w:val="001E1442"/>
    <w:rsid w:val="001E2099"/>
    <w:rsid w:val="001E5E8D"/>
    <w:rsid w:val="001E71CC"/>
    <w:rsid w:val="001F0115"/>
    <w:rsid w:val="001F01FC"/>
    <w:rsid w:val="001F03AA"/>
    <w:rsid w:val="001F12C5"/>
    <w:rsid w:val="001F1D24"/>
    <w:rsid w:val="001F1FAB"/>
    <w:rsid w:val="001F203F"/>
    <w:rsid w:val="001F2401"/>
    <w:rsid w:val="001F61C8"/>
    <w:rsid w:val="001F78C6"/>
    <w:rsid w:val="001F7CB1"/>
    <w:rsid w:val="00200A33"/>
    <w:rsid w:val="002017B2"/>
    <w:rsid w:val="002024AB"/>
    <w:rsid w:val="002033CC"/>
    <w:rsid w:val="002035D5"/>
    <w:rsid w:val="002039A2"/>
    <w:rsid w:val="00204490"/>
    <w:rsid w:val="00206444"/>
    <w:rsid w:val="00210B18"/>
    <w:rsid w:val="002127A2"/>
    <w:rsid w:val="00213294"/>
    <w:rsid w:val="00213DD3"/>
    <w:rsid w:val="002158FA"/>
    <w:rsid w:val="00215B96"/>
    <w:rsid w:val="002163B5"/>
    <w:rsid w:val="002167BE"/>
    <w:rsid w:val="002169E5"/>
    <w:rsid w:val="00216B94"/>
    <w:rsid w:val="0021714A"/>
    <w:rsid w:val="00217244"/>
    <w:rsid w:val="00217C65"/>
    <w:rsid w:val="0022062D"/>
    <w:rsid w:val="00221B52"/>
    <w:rsid w:val="0022377A"/>
    <w:rsid w:val="0022459A"/>
    <w:rsid w:val="00224A4F"/>
    <w:rsid w:val="00226D2F"/>
    <w:rsid w:val="00226FFC"/>
    <w:rsid w:val="002276B3"/>
    <w:rsid w:val="00227D84"/>
    <w:rsid w:val="00227F2B"/>
    <w:rsid w:val="00230A85"/>
    <w:rsid w:val="00230F8F"/>
    <w:rsid w:val="00231938"/>
    <w:rsid w:val="0023194D"/>
    <w:rsid w:val="0023237D"/>
    <w:rsid w:val="002324EF"/>
    <w:rsid w:val="002339C6"/>
    <w:rsid w:val="00234947"/>
    <w:rsid w:val="00235306"/>
    <w:rsid w:val="0023619E"/>
    <w:rsid w:val="00236694"/>
    <w:rsid w:val="00236D07"/>
    <w:rsid w:val="0024183A"/>
    <w:rsid w:val="00241D40"/>
    <w:rsid w:val="00242166"/>
    <w:rsid w:val="0024374B"/>
    <w:rsid w:val="002444D5"/>
    <w:rsid w:val="00245CF5"/>
    <w:rsid w:val="0024653B"/>
    <w:rsid w:val="00247496"/>
    <w:rsid w:val="00247CD4"/>
    <w:rsid w:val="00250430"/>
    <w:rsid w:val="00252324"/>
    <w:rsid w:val="00252CB5"/>
    <w:rsid w:val="00253600"/>
    <w:rsid w:val="00253A71"/>
    <w:rsid w:val="002542E7"/>
    <w:rsid w:val="00254999"/>
    <w:rsid w:val="002554F7"/>
    <w:rsid w:val="0025569F"/>
    <w:rsid w:val="00255D26"/>
    <w:rsid w:val="00256B5F"/>
    <w:rsid w:val="002607D8"/>
    <w:rsid w:val="00261671"/>
    <w:rsid w:val="00261AA8"/>
    <w:rsid w:val="00262217"/>
    <w:rsid w:val="00264008"/>
    <w:rsid w:val="0026402A"/>
    <w:rsid w:val="00264490"/>
    <w:rsid w:val="00266636"/>
    <w:rsid w:val="00267EE2"/>
    <w:rsid w:val="002721BD"/>
    <w:rsid w:val="00274502"/>
    <w:rsid w:val="002751ED"/>
    <w:rsid w:val="00275746"/>
    <w:rsid w:val="00275D14"/>
    <w:rsid w:val="00275FDF"/>
    <w:rsid w:val="002775E5"/>
    <w:rsid w:val="0028291C"/>
    <w:rsid w:val="00283997"/>
    <w:rsid w:val="00283D21"/>
    <w:rsid w:val="0028430F"/>
    <w:rsid w:val="00284B82"/>
    <w:rsid w:val="00284DD0"/>
    <w:rsid w:val="002855B0"/>
    <w:rsid w:val="0028573C"/>
    <w:rsid w:val="00286A25"/>
    <w:rsid w:val="00286BF3"/>
    <w:rsid w:val="00287100"/>
    <w:rsid w:val="00290108"/>
    <w:rsid w:val="002909FB"/>
    <w:rsid w:val="00292A64"/>
    <w:rsid w:val="00292C58"/>
    <w:rsid w:val="00293114"/>
    <w:rsid w:val="00293711"/>
    <w:rsid w:val="00293E4A"/>
    <w:rsid w:val="002948EE"/>
    <w:rsid w:val="00296068"/>
    <w:rsid w:val="00296781"/>
    <w:rsid w:val="00296FF3"/>
    <w:rsid w:val="0029769B"/>
    <w:rsid w:val="002979BA"/>
    <w:rsid w:val="002A1433"/>
    <w:rsid w:val="002A192E"/>
    <w:rsid w:val="002A2278"/>
    <w:rsid w:val="002A25B1"/>
    <w:rsid w:val="002A29DA"/>
    <w:rsid w:val="002A3032"/>
    <w:rsid w:val="002A308D"/>
    <w:rsid w:val="002A3C38"/>
    <w:rsid w:val="002A6E35"/>
    <w:rsid w:val="002A79E5"/>
    <w:rsid w:val="002A7DCD"/>
    <w:rsid w:val="002A7DE5"/>
    <w:rsid w:val="002B01EA"/>
    <w:rsid w:val="002B044D"/>
    <w:rsid w:val="002B1F42"/>
    <w:rsid w:val="002B228F"/>
    <w:rsid w:val="002B2F7C"/>
    <w:rsid w:val="002B4DCD"/>
    <w:rsid w:val="002B59A3"/>
    <w:rsid w:val="002B6CD3"/>
    <w:rsid w:val="002B7157"/>
    <w:rsid w:val="002B7BD2"/>
    <w:rsid w:val="002C006F"/>
    <w:rsid w:val="002C0550"/>
    <w:rsid w:val="002C07FE"/>
    <w:rsid w:val="002C0CB4"/>
    <w:rsid w:val="002C13C2"/>
    <w:rsid w:val="002C13D8"/>
    <w:rsid w:val="002C1C85"/>
    <w:rsid w:val="002C32F8"/>
    <w:rsid w:val="002C3D85"/>
    <w:rsid w:val="002C3FD7"/>
    <w:rsid w:val="002C43DC"/>
    <w:rsid w:val="002C4C27"/>
    <w:rsid w:val="002C4E6E"/>
    <w:rsid w:val="002C6E95"/>
    <w:rsid w:val="002C70C5"/>
    <w:rsid w:val="002C7110"/>
    <w:rsid w:val="002C74DD"/>
    <w:rsid w:val="002D1957"/>
    <w:rsid w:val="002D1AAC"/>
    <w:rsid w:val="002D20D4"/>
    <w:rsid w:val="002D3CC1"/>
    <w:rsid w:val="002D55BA"/>
    <w:rsid w:val="002D5D55"/>
    <w:rsid w:val="002D6BF1"/>
    <w:rsid w:val="002D7010"/>
    <w:rsid w:val="002D7720"/>
    <w:rsid w:val="002E0177"/>
    <w:rsid w:val="002E050C"/>
    <w:rsid w:val="002E0D84"/>
    <w:rsid w:val="002E1A60"/>
    <w:rsid w:val="002E232A"/>
    <w:rsid w:val="002E52CA"/>
    <w:rsid w:val="002E5414"/>
    <w:rsid w:val="002E58F0"/>
    <w:rsid w:val="002E6D48"/>
    <w:rsid w:val="002F0540"/>
    <w:rsid w:val="002F05D2"/>
    <w:rsid w:val="002F20B5"/>
    <w:rsid w:val="002F23BA"/>
    <w:rsid w:val="002F73A3"/>
    <w:rsid w:val="002F75C9"/>
    <w:rsid w:val="00300916"/>
    <w:rsid w:val="0030109C"/>
    <w:rsid w:val="00301362"/>
    <w:rsid w:val="00301B0F"/>
    <w:rsid w:val="00301B63"/>
    <w:rsid w:val="00301BD0"/>
    <w:rsid w:val="00301F06"/>
    <w:rsid w:val="00302F52"/>
    <w:rsid w:val="003036F9"/>
    <w:rsid w:val="00303BA9"/>
    <w:rsid w:val="00303BFC"/>
    <w:rsid w:val="00303CAC"/>
    <w:rsid w:val="003066F7"/>
    <w:rsid w:val="00306C94"/>
    <w:rsid w:val="00307459"/>
    <w:rsid w:val="00307F20"/>
    <w:rsid w:val="00307F8E"/>
    <w:rsid w:val="00311BA6"/>
    <w:rsid w:val="00312C33"/>
    <w:rsid w:val="00313ED1"/>
    <w:rsid w:val="00314251"/>
    <w:rsid w:val="00314A07"/>
    <w:rsid w:val="00315549"/>
    <w:rsid w:val="00315593"/>
    <w:rsid w:val="00315E19"/>
    <w:rsid w:val="003170E3"/>
    <w:rsid w:val="003172C1"/>
    <w:rsid w:val="00317E71"/>
    <w:rsid w:val="0032038A"/>
    <w:rsid w:val="00320544"/>
    <w:rsid w:val="003215E2"/>
    <w:rsid w:val="003221FF"/>
    <w:rsid w:val="00322ECA"/>
    <w:rsid w:val="00323554"/>
    <w:rsid w:val="00323B84"/>
    <w:rsid w:val="0032478A"/>
    <w:rsid w:val="00324AF9"/>
    <w:rsid w:val="003251CF"/>
    <w:rsid w:val="00325E49"/>
    <w:rsid w:val="00325F22"/>
    <w:rsid w:val="003266C5"/>
    <w:rsid w:val="003269D9"/>
    <w:rsid w:val="00327104"/>
    <w:rsid w:val="00327761"/>
    <w:rsid w:val="00327D25"/>
    <w:rsid w:val="00327F1B"/>
    <w:rsid w:val="003300AD"/>
    <w:rsid w:val="00330FDD"/>
    <w:rsid w:val="00331133"/>
    <w:rsid w:val="00331A18"/>
    <w:rsid w:val="003333C1"/>
    <w:rsid w:val="0033430C"/>
    <w:rsid w:val="0033450D"/>
    <w:rsid w:val="0033460A"/>
    <w:rsid w:val="00335D4D"/>
    <w:rsid w:val="0033743E"/>
    <w:rsid w:val="00340FEC"/>
    <w:rsid w:val="00341319"/>
    <w:rsid w:val="003436ED"/>
    <w:rsid w:val="0034592C"/>
    <w:rsid w:val="00346170"/>
    <w:rsid w:val="00346840"/>
    <w:rsid w:val="00346CF0"/>
    <w:rsid w:val="0034772F"/>
    <w:rsid w:val="00347A6C"/>
    <w:rsid w:val="00347D84"/>
    <w:rsid w:val="00351F73"/>
    <w:rsid w:val="00352360"/>
    <w:rsid w:val="00353609"/>
    <w:rsid w:val="003541D8"/>
    <w:rsid w:val="00354247"/>
    <w:rsid w:val="00354B90"/>
    <w:rsid w:val="00355E23"/>
    <w:rsid w:val="00356259"/>
    <w:rsid w:val="00356B02"/>
    <w:rsid w:val="0036006C"/>
    <w:rsid w:val="00360579"/>
    <w:rsid w:val="00360F54"/>
    <w:rsid w:val="003610CB"/>
    <w:rsid w:val="00361F26"/>
    <w:rsid w:val="0036249C"/>
    <w:rsid w:val="003626F0"/>
    <w:rsid w:val="0036282A"/>
    <w:rsid w:val="00362C51"/>
    <w:rsid w:val="00363EE4"/>
    <w:rsid w:val="00366AE7"/>
    <w:rsid w:val="00370664"/>
    <w:rsid w:val="00370BCE"/>
    <w:rsid w:val="00371412"/>
    <w:rsid w:val="00371F68"/>
    <w:rsid w:val="00371F80"/>
    <w:rsid w:val="00372F8A"/>
    <w:rsid w:val="00373423"/>
    <w:rsid w:val="003738EE"/>
    <w:rsid w:val="003745DB"/>
    <w:rsid w:val="003749AD"/>
    <w:rsid w:val="00375541"/>
    <w:rsid w:val="003756B5"/>
    <w:rsid w:val="00376AD0"/>
    <w:rsid w:val="003771A2"/>
    <w:rsid w:val="00377397"/>
    <w:rsid w:val="00377741"/>
    <w:rsid w:val="00377CCA"/>
    <w:rsid w:val="00380673"/>
    <w:rsid w:val="0038196E"/>
    <w:rsid w:val="00382CEE"/>
    <w:rsid w:val="00383F1F"/>
    <w:rsid w:val="00386515"/>
    <w:rsid w:val="003865EB"/>
    <w:rsid w:val="00390EEB"/>
    <w:rsid w:val="00390F7E"/>
    <w:rsid w:val="00392113"/>
    <w:rsid w:val="003939EC"/>
    <w:rsid w:val="0039450E"/>
    <w:rsid w:val="003946ED"/>
    <w:rsid w:val="0039639B"/>
    <w:rsid w:val="003A0393"/>
    <w:rsid w:val="003A05E0"/>
    <w:rsid w:val="003A10B3"/>
    <w:rsid w:val="003A1781"/>
    <w:rsid w:val="003A318E"/>
    <w:rsid w:val="003A3631"/>
    <w:rsid w:val="003A3C9B"/>
    <w:rsid w:val="003A3D6C"/>
    <w:rsid w:val="003A47F7"/>
    <w:rsid w:val="003A4DC8"/>
    <w:rsid w:val="003A515B"/>
    <w:rsid w:val="003A57B6"/>
    <w:rsid w:val="003A586F"/>
    <w:rsid w:val="003A5930"/>
    <w:rsid w:val="003A59B3"/>
    <w:rsid w:val="003A7D91"/>
    <w:rsid w:val="003B202C"/>
    <w:rsid w:val="003B2C00"/>
    <w:rsid w:val="003B312A"/>
    <w:rsid w:val="003B3893"/>
    <w:rsid w:val="003B3C36"/>
    <w:rsid w:val="003B4008"/>
    <w:rsid w:val="003B4355"/>
    <w:rsid w:val="003B4419"/>
    <w:rsid w:val="003B46B9"/>
    <w:rsid w:val="003B52A4"/>
    <w:rsid w:val="003B53DC"/>
    <w:rsid w:val="003B65A2"/>
    <w:rsid w:val="003B7027"/>
    <w:rsid w:val="003C16CB"/>
    <w:rsid w:val="003C2B2D"/>
    <w:rsid w:val="003C2E2F"/>
    <w:rsid w:val="003C2E4F"/>
    <w:rsid w:val="003C2E7D"/>
    <w:rsid w:val="003C31F3"/>
    <w:rsid w:val="003C3418"/>
    <w:rsid w:val="003C37AB"/>
    <w:rsid w:val="003C3B77"/>
    <w:rsid w:val="003C4A14"/>
    <w:rsid w:val="003C50B2"/>
    <w:rsid w:val="003C5259"/>
    <w:rsid w:val="003C599F"/>
    <w:rsid w:val="003C67CD"/>
    <w:rsid w:val="003C7580"/>
    <w:rsid w:val="003D0116"/>
    <w:rsid w:val="003D0557"/>
    <w:rsid w:val="003D05A1"/>
    <w:rsid w:val="003D1E08"/>
    <w:rsid w:val="003D2C5B"/>
    <w:rsid w:val="003D32A8"/>
    <w:rsid w:val="003D4274"/>
    <w:rsid w:val="003D4336"/>
    <w:rsid w:val="003D48A0"/>
    <w:rsid w:val="003D4B32"/>
    <w:rsid w:val="003D57A5"/>
    <w:rsid w:val="003D658E"/>
    <w:rsid w:val="003D6A0E"/>
    <w:rsid w:val="003D7A9D"/>
    <w:rsid w:val="003E00CB"/>
    <w:rsid w:val="003E06B5"/>
    <w:rsid w:val="003E0BAE"/>
    <w:rsid w:val="003E0D8C"/>
    <w:rsid w:val="003E0FCF"/>
    <w:rsid w:val="003E14B0"/>
    <w:rsid w:val="003E1B40"/>
    <w:rsid w:val="003E25C7"/>
    <w:rsid w:val="003E2860"/>
    <w:rsid w:val="003E32B6"/>
    <w:rsid w:val="003E3B0F"/>
    <w:rsid w:val="003E4818"/>
    <w:rsid w:val="003E4F34"/>
    <w:rsid w:val="003E655F"/>
    <w:rsid w:val="003E76E0"/>
    <w:rsid w:val="003F2FD6"/>
    <w:rsid w:val="003F3540"/>
    <w:rsid w:val="003F3614"/>
    <w:rsid w:val="003F47B1"/>
    <w:rsid w:val="003F6F5C"/>
    <w:rsid w:val="0040024C"/>
    <w:rsid w:val="0040103B"/>
    <w:rsid w:val="00402098"/>
    <w:rsid w:val="004027B8"/>
    <w:rsid w:val="00402A9C"/>
    <w:rsid w:val="00403186"/>
    <w:rsid w:val="0040362E"/>
    <w:rsid w:val="00403C69"/>
    <w:rsid w:val="00404132"/>
    <w:rsid w:val="0040583C"/>
    <w:rsid w:val="00405B26"/>
    <w:rsid w:val="00407019"/>
    <w:rsid w:val="004073E2"/>
    <w:rsid w:val="00407553"/>
    <w:rsid w:val="00410B72"/>
    <w:rsid w:val="004117B9"/>
    <w:rsid w:val="004118F3"/>
    <w:rsid w:val="00412197"/>
    <w:rsid w:val="004123A7"/>
    <w:rsid w:val="00412473"/>
    <w:rsid w:val="0041348F"/>
    <w:rsid w:val="0041493C"/>
    <w:rsid w:val="0041511A"/>
    <w:rsid w:val="00415783"/>
    <w:rsid w:val="004170B8"/>
    <w:rsid w:val="00417878"/>
    <w:rsid w:val="004201F4"/>
    <w:rsid w:val="00420594"/>
    <w:rsid w:val="00420BC5"/>
    <w:rsid w:val="00420F02"/>
    <w:rsid w:val="0042118B"/>
    <w:rsid w:val="004224DF"/>
    <w:rsid w:val="004227E0"/>
    <w:rsid w:val="004241CB"/>
    <w:rsid w:val="004255CA"/>
    <w:rsid w:val="004304BA"/>
    <w:rsid w:val="00430678"/>
    <w:rsid w:val="00431391"/>
    <w:rsid w:val="00431499"/>
    <w:rsid w:val="0043159D"/>
    <w:rsid w:val="00431949"/>
    <w:rsid w:val="004319CE"/>
    <w:rsid w:val="0043205C"/>
    <w:rsid w:val="0043373D"/>
    <w:rsid w:val="00433FF5"/>
    <w:rsid w:val="00434B78"/>
    <w:rsid w:val="00434F15"/>
    <w:rsid w:val="004351CD"/>
    <w:rsid w:val="00435CA6"/>
    <w:rsid w:val="0043610E"/>
    <w:rsid w:val="004361E3"/>
    <w:rsid w:val="004379AB"/>
    <w:rsid w:val="00437C69"/>
    <w:rsid w:val="0044106F"/>
    <w:rsid w:val="0044112C"/>
    <w:rsid w:val="00441664"/>
    <w:rsid w:val="0044271F"/>
    <w:rsid w:val="0044325A"/>
    <w:rsid w:val="004439CF"/>
    <w:rsid w:val="0044498F"/>
    <w:rsid w:val="00445495"/>
    <w:rsid w:val="00446529"/>
    <w:rsid w:val="00447B3E"/>
    <w:rsid w:val="0045065C"/>
    <w:rsid w:val="00450DFC"/>
    <w:rsid w:val="004510F5"/>
    <w:rsid w:val="00451F94"/>
    <w:rsid w:val="00455A26"/>
    <w:rsid w:val="00455A83"/>
    <w:rsid w:val="004562DD"/>
    <w:rsid w:val="00456807"/>
    <w:rsid w:val="00456AF1"/>
    <w:rsid w:val="00460700"/>
    <w:rsid w:val="00460764"/>
    <w:rsid w:val="004614B1"/>
    <w:rsid w:val="00461F5D"/>
    <w:rsid w:val="0046311C"/>
    <w:rsid w:val="00463867"/>
    <w:rsid w:val="0046457D"/>
    <w:rsid w:val="004654D7"/>
    <w:rsid w:val="00465D9E"/>
    <w:rsid w:val="00466342"/>
    <w:rsid w:val="004665B4"/>
    <w:rsid w:val="004665F6"/>
    <w:rsid w:val="00467BCA"/>
    <w:rsid w:val="004704D8"/>
    <w:rsid w:val="0047125A"/>
    <w:rsid w:val="00472A1A"/>
    <w:rsid w:val="00472A33"/>
    <w:rsid w:val="00472B73"/>
    <w:rsid w:val="004731B9"/>
    <w:rsid w:val="0047331E"/>
    <w:rsid w:val="00473618"/>
    <w:rsid w:val="00473A04"/>
    <w:rsid w:val="00476B11"/>
    <w:rsid w:val="00476CFA"/>
    <w:rsid w:val="00477697"/>
    <w:rsid w:val="00477B50"/>
    <w:rsid w:val="00477EB9"/>
    <w:rsid w:val="00477EC4"/>
    <w:rsid w:val="00482919"/>
    <w:rsid w:val="00482B39"/>
    <w:rsid w:val="00484321"/>
    <w:rsid w:val="00484565"/>
    <w:rsid w:val="00485175"/>
    <w:rsid w:val="00486651"/>
    <w:rsid w:val="0048728A"/>
    <w:rsid w:val="00487C97"/>
    <w:rsid w:val="0049004F"/>
    <w:rsid w:val="00490754"/>
    <w:rsid w:val="00490760"/>
    <w:rsid w:val="00490CF4"/>
    <w:rsid w:val="00490F87"/>
    <w:rsid w:val="00491802"/>
    <w:rsid w:val="004927C9"/>
    <w:rsid w:val="00493DBE"/>
    <w:rsid w:val="00494A27"/>
    <w:rsid w:val="00495259"/>
    <w:rsid w:val="00495ADF"/>
    <w:rsid w:val="00496406"/>
    <w:rsid w:val="0049698C"/>
    <w:rsid w:val="00496FE5"/>
    <w:rsid w:val="00497FA7"/>
    <w:rsid w:val="004A05D9"/>
    <w:rsid w:val="004A0E2D"/>
    <w:rsid w:val="004A2C83"/>
    <w:rsid w:val="004A2F1F"/>
    <w:rsid w:val="004A3CCE"/>
    <w:rsid w:val="004A4083"/>
    <w:rsid w:val="004A540F"/>
    <w:rsid w:val="004A5814"/>
    <w:rsid w:val="004A5A02"/>
    <w:rsid w:val="004A690A"/>
    <w:rsid w:val="004A6926"/>
    <w:rsid w:val="004A6B9D"/>
    <w:rsid w:val="004A751A"/>
    <w:rsid w:val="004B2A6B"/>
    <w:rsid w:val="004B2AEE"/>
    <w:rsid w:val="004B3DD8"/>
    <w:rsid w:val="004B401C"/>
    <w:rsid w:val="004B462F"/>
    <w:rsid w:val="004B466A"/>
    <w:rsid w:val="004B4A9E"/>
    <w:rsid w:val="004B5395"/>
    <w:rsid w:val="004B56A4"/>
    <w:rsid w:val="004B5761"/>
    <w:rsid w:val="004B57E9"/>
    <w:rsid w:val="004B6CB4"/>
    <w:rsid w:val="004B6D03"/>
    <w:rsid w:val="004B71C6"/>
    <w:rsid w:val="004B7A65"/>
    <w:rsid w:val="004C04D6"/>
    <w:rsid w:val="004C0B5E"/>
    <w:rsid w:val="004C152A"/>
    <w:rsid w:val="004C279A"/>
    <w:rsid w:val="004C2995"/>
    <w:rsid w:val="004C2BBD"/>
    <w:rsid w:val="004C32F3"/>
    <w:rsid w:val="004C361F"/>
    <w:rsid w:val="004C36B9"/>
    <w:rsid w:val="004C3D11"/>
    <w:rsid w:val="004C469F"/>
    <w:rsid w:val="004C494A"/>
    <w:rsid w:val="004C64CF"/>
    <w:rsid w:val="004C6A66"/>
    <w:rsid w:val="004C7D71"/>
    <w:rsid w:val="004D0AE8"/>
    <w:rsid w:val="004D0D8E"/>
    <w:rsid w:val="004D10B7"/>
    <w:rsid w:val="004D17C7"/>
    <w:rsid w:val="004D273E"/>
    <w:rsid w:val="004D333D"/>
    <w:rsid w:val="004D4B14"/>
    <w:rsid w:val="004D4CE7"/>
    <w:rsid w:val="004D50D7"/>
    <w:rsid w:val="004D6367"/>
    <w:rsid w:val="004D698D"/>
    <w:rsid w:val="004D6F22"/>
    <w:rsid w:val="004D6F92"/>
    <w:rsid w:val="004D746F"/>
    <w:rsid w:val="004E01F1"/>
    <w:rsid w:val="004E02B9"/>
    <w:rsid w:val="004E1997"/>
    <w:rsid w:val="004E1A72"/>
    <w:rsid w:val="004E3C04"/>
    <w:rsid w:val="004E65C8"/>
    <w:rsid w:val="004F0583"/>
    <w:rsid w:val="004F0868"/>
    <w:rsid w:val="004F0B22"/>
    <w:rsid w:val="004F10D2"/>
    <w:rsid w:val="004F1560"/>
    <w:rsid w:val="004F1641"/>
    <w:rsid w:val="004F2C62"/>
    <w:rsid w:val="004F3BE4"/>
    <w:rsid w:val="004F52D9"/>
    <w:rsid w:val="004F5423"/>
    <w:rsid w:val="004F669C"/>
    <w:rsid w:val="004F6B0D"/>
    <w:rsid w:val="004F741A"/>
    <w:rsid w:val="005006DB"/>
    <w:rsid w:val="0050256E"/>
    <w:rsid w:val="00503337"/>
    <w:rsid w:val="00503569"/>
    <w:rsid w:val="00503A40"/>
    <w:rsid w:val="00503B55"/>
    <w:rsid w:val="00505614"/>
    <w:rsid w:val="00505651"/>
    <w:rsid w:val="005060BE"/>
    <w:rsid w:val="00506322"/>
    <w:rsid w:val="00510016"/>
    <w:rsid w:val="0051042A"/>
    <w:rsid w:val="00511CB9"/>
    <w:rsid w:val="005140F8"/>
    <w:rsid w:val="005141BA"/>
    <w:rsid w:val="00514D6F"/>
    <w:rsid w:val="005156E1"/>
    <w:rsid w:val="00515CE0"/>
    <w:rsid w:val="005160C9"/>
    <w:rsid w:val="00516D7F"/>
    <w:rsid w:val="005178A4"/>
    <w:rsid w:val="00517AA9"/>
    <w:rsid w:val="00517E0E"/>
    <w:rsid w:val="00520E98"/>
    <w:rsid w:val="0052185F"/>
    <w:rsid w:val="005219C4"/>
    <w:rsid w:val="00522340"/>
    <w:rsid w:val="00522F59"/>
    <w:rsid w:val="00523933"/>
    <w:rsid w:val="00524BC0"/>
    <w:rsid w:val="00525005"/>
    <w:rsid w:val="0052524F"/>
    <w:rsid w:val="00526B06"/>
    <w:rsid w:val="00530CCF"/>
    <w:rsid w:val="005313CA"/>
    <w:rsid w:val="005327B9"/>
    <w:rsid w:val="0053344C"/>
    <w:rsid w:val="00533C39"/>
    <w:rsid w:val="00533FCD"/>
    <w:rsid w:val="0053534A"/>
    <w:rsid w:val="00537003"/>
    <w:rsid w:val="005376E1"/>
    <w:rsid w:val="00537DF8"/>
    <w:rsid w:val="00540070"/>
    <w:rsid w:val="00540333"/>
    <w:rsid w:val="0054041C"/>
    <w:rsid w:val="005409DC"/>
    <w:rsid w:val="005415E1"/>
    <w:rsid w:val="00541B45"/>
    <w:rsid w:val="00541D14"/>
    <w:rsid w:val="005425AA"/>
    <w:rsid w:val="005429CB"/>
    <w:rsid w:val="00542C2E"/>
    <w:rsid w:val="00542F38"/>
    <w:rsid w:val="005435E8"/>
    <w:rsid w:val="00543764"/>
    <w:rsid w:val="005441B5"/>
    <w:rsid w:val="00544241"/>
    <w:rsid w:val="00544ABB"/>
    <w:rsid w:val="00545DC5"/>
    <w:rsid w:val="00546265"/>
    <w:rsid w:val="0054645B"/>
    <w:rsid w:val="005465F5"/>
    <w:rsid w:val="005470D8"/>
    <w:rsid w:val="00550D79"/>
    <w:rsid w:val="00550E2F"/>
    <w:rsid w:val="00551527"/>
    <w:rsid w:val="00552D67"/>
    <w:rsid w:val="005537E6"/>
    <w:rsid w:val="00555443"/>
    <w:rsid w:val="0055545C"/>
    <w:rsid w:val="00555CD6"/>
    <w:rsid w:val="00557BFD"/>
    <w:rsid w:val="00560251"/>
    <w:rsid w:val="005605FA"/>
    <w:rsid w:val="00561415"/>
    <w:rsid w:val="0056184A"/>
    <w:rsid w:val="0056218C"/>
    <w:rsid w:val="005627BB"/>
    <w:rsid w:val="00562879"/>
    <w:rsid w:val="005639F7"/>
    <w:rsid w:val="00563E70"/>
    <w:rsid w:val="0056555C"/>
    <w:rsid w:val="00565AE6"/>
    <w:rsid w:val="00565D44"/>
    <w:rsid w:val="005663BF"/>
    <w:rsid w:val="00566C2E"/>
    <w:rsid w:val="0056718E"/>
    <w:rsid w:val="0057063D"/>
    <w:rsid w:val="005708E3"/>
    <w:rsid w:val="00570D5A"/>
    <w:rsid w:val="00570F74"/>
    <w:rsid w:val="00571A52"/>
    <w:rsid w:val="00571B8D"/>
    <w:rsid w:val="00571D9B"/>
    <w:rsid w:val="0057303A"/>
    <w:rsid w:val="00573092"/>
    <w:rsid w:val="00573134"/>
    <w:rsid w:val="00573AF4"/>
    <w:rsid w:val="005740B8"/>
    <w:rsid w:val="0057688B"/>
    <w:rsid w:val="00576A4E"/>
    <w:rsid w:val="00577410"/>
    <w:rsid w:val="0057784A"/>
    <w:rsid w:val="00577BB7"/>
    <w:rsid w:val="00577E0A"/>
    <w:rsid w:val="005801B9"/>
    <w:rsid w:val="005810F4"/>
    <w:rsid w:val="00581355"/>
    <w:rsid w:val="0058141E"/>
    <w:rsid w:val="00581AAE"/>
    <w:rsid w:val="00582367"/>
    <w:rsid w:val="0058282E"/>
    <w:rsid w:val="00582C15"/>
    <w:rsid w:val="00583A6E"/>
    <w:rsid w:val="00583C9C"/>
    <w:rsid w:val="0058481C"/>
    <w:rsid w:val="00584BDF"/>
    <w:rsid w:val="00584EA2"/>
    <w:rsid w:val="00586B7A"/>
    <w:rsid w:val="00586D99"/>
    <w:rsid w:val="005871AD"/>
    <w:rsid w:val="005904AC"/>
    <w:rsid w:val="00591434"/>
    <w:rsid w:val="00591471"/>
    <w:rsid w:val="0059195D"/>
    <w:rsid w:val="0059203E"/>
    <w:rsid w:val="00592359"/>
    <w:rsid w:val="0059288A"/>
    <w:rsid w:val="00593D77"/>
    <w:rsid w:val="005944DB"/>
    <w:rsid w:val="00594C7E"/>
    <w:rsid w:val="00594E05"/>
    <w:rsid w:val="005957B2"/>
    <w:rsid w:val="00595C63"/>
    <w:rsid w:val="00595EC5"/>
    <w:rsid w:val="0059646B"/>
    <w:rsid w:val="005967DB"/>
    <w:rsid w:val="00596999"/>
    <w:rsid w:val="00596C95"/>
    <w:rsid w:val="00596CEC"/>
    <w:rsid w:val="00597355"/>
    <w:rsid w:val="00597598"/>
    <w:rsid w:val="005A3130"/>
    <w:rsid w:val="005A3C64"/>
    <w:rsid w:val="005A3C6E"/>
    <w:rsid w:val="005A3D99"/>
    <w:rsid w:val="005A5469"/>
    <w:rsid w:val="005A5D0D"/>
    <w:rsid w:val="005A72CD"/>
    <w:rsid w:val="005B06F0"/>
    <w:rsid w:val="005B0B90"/>
    <w:rsid w:val="005B1EE6"/>
    <w:rsid w:val="005B27C9"/>
    <w:rsid w:val="005B3B44"/>
    <w:rsid w:val="005B4072"/>
    <w:rsid w:val="005B5E50"/>
    <w:rsid w:val="005B67DA"/>
    <w:rsid w:val="005B72F4"/>
    <w:rsid w:val="005C01FC"/>
    <w:rsid w:val="005C1BAC"/>
    <w:rsid w:val="005C1FF3"/>
    <w:rsid w:val="005C1FF5"/>
    <w:rsid w:val="005C2E03"/>
    <w:rsid w:val="005C3D6F"/>
    <w:rsid w:val="005C4E24"/>
    <w:rsid w:val="005C5DB7"/>
    <w:rsid w:val="005C6D1C"/>
    <w:rsid w:val="005C6D7B"/>
    <w:rsid w:val="005C7788"/>
    <w:rsid w:val="005C7E89"/>
    <w:rsid w:val="005D1AAE"/>
    <w:rsid w:val="005D27DD"/>
    <w:rsid w:val="005D3BD7"/>
    <w:rsid w:val="005D4149"/>
    <w:rsid w:val="005D43C9"/>
    <w:rsid w:val="005D5146"/>
    <w:rsid w:val="005D5226"/>
    <w:rsid w:val="005D590F"/>
    <w:rsid w:val="005D5DE5"/>
    <w:rsid w:val="005D6CED"/>
    <w:rsid w:val="005D724E"/>
    <w:rsid w:val="005D79D7"/>
    <w:rsid w:val="005E029E"/>
    <w:rsid w:val="005E02FE"/>
    <w:rsid w:val="005E03A3"/>
    <w:rsid w:val="005E0C73"/>
    <w:rsid w:val="005E1BF4"/>
    <w:rsid w:val="005E2A97"/>
    <w:rsid w:val="005E4209"/>
    <w:rsid w:val="005E4E30"/>
    <w:rsid w:val="005E559C"/>
    <w:rsid w:val="005F00FB"/>
    <w:rsid w:val="005F1331"/>
    <w:rsid w:val="005F2BAF"/>
    <w:rsid w:val="005F34FC"/>
    <w:rsid w:val="005F4241"/>
    <w:rsid w:val="005F4EE0"/>
    <w:rsid w:val="005F5A09"/>
    <w:rsid w:val="005F62DD"/>
    <w:rsid w:val="005F680E"/>
    <w:rsid w:val="005F71B8"/>
    <w:rsid w:val="00600207"/>
    <w:rsid w:val="00600AEE"/>
    <w:rsid w:val="00600F4D"/>
    <w:rsid w:val="006017E6"/>
    <w:rsid w:val="00602498"/>
    <w:rsid w:val="00602857"/>
    <w:rsid w:val="006032A5"/>
    <w:rsid w:val="00603F48"/>
    <w:rsid w:val="00605B2A"/>
    <w:rsid w:val="00605D84"/>
    <w:rsid w:val="00607D9D"/>
    <w:rsid w:val="006105F5"/>
    <w:rsid w:val="0061088B"/>
    <w:rsid w:val="00610CF7"/>
    <w:rsid w:val="006114FF"/>
    <w:rsid w:val="006117DF"/>
    <w:rsid w:val="00611ED7"/>
    <w:rsid w:val="0061226E"/>
    <w:rsid w:val="0061264A"/>
    <w:rsid w:val="00613231"/>
    <w:rsid w:val="00613BB8"/>
    <w:rsid w:val="0061465D"/>
    <w:rsid w:val="00614CBB"/>
    <w:rsid w:val="006153A7"/>
    <w:rsid w:val="00616329"/>
    <w:rsid w:val="006170C2"/>
    <w:rsid w:val="00617AB8"/>
    <w:rsid w:val="00620674"/>
    <w:rsid w:val="00620B00"/>
    <w:rsid w:val="00620CC3"/>
    <w:rsid w:val="00621878"/>
    <w:rsid w:val="00621D80"/>
    <w:rsid w:val="00622B2F"/>
    <w:rsid w:val="006231AF"/>
    <w:rsid w:val="006245AC"/>
    <w:rsid w:val="00624EAB"/>
    <w:rsid w:val="00625671"/>
    <w:rsid w:val="0062717E"/>
    <w:rsid w:val="0063001B"/>
    <w:rsid w:val="00630390"/>
    <w:rsid w:val="006307AB"/>
    <w:rsid w:val="00631310"/>
    <w:rsid w:val="0063139F"/>
    <w:rsid w:val="00631E77"/>
    <w:rsid w:val="00632780"/>
    <w:rsid w:val="006342D1"/>
    <w:rsid w:val="0063430B"/>
    <w:rsid w:val="0063454B"/>
    <w:rsid w:val="00634CF9"/>
    <w:rsid w:val="0063538C"/>
    <w:rsid w:val="00637D53"/>
    <w:rsid w:val="00640092"/>
    <w:rsid w:val="006401A7"/>
    <w:rsid w:val="0064180A"/>
    <w:rsid w:val="00643242"/>
    <w:rsid w:val="00643BAB"/>
    <w:rsid w:val="0064416B"/>
    <w:rsid w:val="006454EA"/>
    <w:rsid w:val="00645586"/>
    <w:rsid w:val="0064575A"/>
    <w:rsid w:val="006464A6"/>
    <w:rsid w:val="00646CCC"/>
    <w:rsid w:val="0064716E"/>
    <w:rsid w:val="006478B6"/>
    <w:rsid w:val="00647CDF"/>
    <w:rsid w:val="00650622"/>
    <w:rsid w:val="00650752"/>
    <w:rsid w:val="006508F6"/>
    <w:rsid w:val="00650F25"/>
    <w:rsid w:val="0065179E"/>
    <w:rsid w:val="00651A65"/>
    <w:rsid w:val="0065202A"/>
    <w:rsid w:val="006522C0"/>
    <w:rsid w:val="006525AB"/>
    <w:rsid w:val="00652F82"/>
    <w:rsid w:val="006532B5"/>
    <w:rsid w:val="006610DA"/>
    <w:rsid w:val="00661A57"/>
    <w:rsid w:val="00661FFC"/>
    <w:rsid w:val="00662197"/>
    <w:rsid w:val="00662859"/>
    <w:rsid w:val="00663A9F"/>
    <w:rsid w:val="00663AE5"/>
    <w:rsid w:val="00665224"/>
    <w:rsid w:val="006663FB"/>
    <w:rsid w:val="00666CEF"/>
    <w:rsid w:val="00667BCE"/>
    <w:rsid w:val="00670BD3"/>
    <w:rsid w:val="006728B9"/>
    <w:rsid w:val="00672BB9"/>
    <w:rsid w:val="00672F79"/>
    <w:rsid w:val="006734BE"/>
    <w:rsid w:val="00673B8E"/>
    <w:rsid w:val="00674063"/>
    <w:rsid w:val="006740A3"/>
    <w:rsid w:val="00674FDF"/>
    <w:rsid w:val="00675C01"/>
    <w:rsid w:val="00676163"/>
    <w:rsid w:val="00676578"/>
    <w:rsid w:val="00680627"/>
    <w:rsid w:val="00680A79"/>
    <w:rsid w:val="00682394"/>
    <w:rsid w:val="00682933"/>
    <w:rsid w:val="006838C2"/>
    <w:rsid w:val="00683FF4"/>
    <w:rsid w:val="00684AE4"/>
    <w:rsid w:val="006862D4"/>
    <w:rsid w:val="00687446"/>
    <w:rsid w:val="00687A26"/>
    <w:rsid w:val="00687FFB"/>
    <w:rsid w:val="00690160"/>
    <w:rsid w:val="006906D3"/>
    <w:rsid w:val="0069159F"/>
    <w:rsid w:val="00691B7D"/>
    <w:rsid w:val="006920E6"/>
    <w:rsid w:val="0069271F"/>
    <w:rsid w:val="00692992"/>
    <w:rsid w:val="00692D24"/>
    <w:rsid w:val="00692D6B"/>
    <w:rsid w:val="00692D98"/>
    <w:rsid w:val="006937BE"/>
    <w:rsid w:val="00693C97"/>
    <w:rsid w:val="00694AAD"/>
    <w:rsid w:val="00695140"/>
    <w:rsid w:val="00697D7C"/>
    <w:rsid w:val="00697FCD"/>
    <w:rsid w:val="006A05A9"/>
    <w:rsid w:val="006A0633"/>
    <w:rsid w:val="006A09C0"/>
    <w:rsid w:val="006A0A51"/>
    <w:rsid w:val="006A1BC2"/>
    <w:rsid w:val="006A2502"/>
    <w:rsid w:val="006A26C0"/>
    <w:rsid w:val="006A28A8"/>
    <w:rsid w:val="006A3C8C"/>
    <w:rsid w:val="006A49D2"/>
    <w:rsid w:val="006A786F"/>
    <w:rsid w:val="006A7BBD"/>
    <w:rsid w:val="006B0D21"/>
    <w:rsid w:val="006B3A1E"/>
    <w:rsid w:val="006B3F3B"/>
    <w:rsid w:val="006B4F70"/>
    <w:rsid w:val="006B504D"/>
    <w:rsid w:val="006B56C2"/>
    <w:rsid w:val="006B5A90"/>
    <w:rsid w:val="006B7506"/>
    <w:rsid w:val="006C0266"/>
    <w:rsid w:val="006C1569"/>
    <w:rsid w:val="006C286A"/>
    <w:rsid w:val="006C2DC5"/>
    <w:rsid w:val="006C2DE0"/>
    <w:rsid w:val="006C2E12"/>
    <w:rsid w:val="006C2EA3"/>
    <w:rsid w:val="006C5D8B"/>
    <w:rsid w:val="006C6AA2"/>
    <w:rsid w:val="006C73E9"/>
    <w:rsid w:val="006D0EEB"/>
    <w:rsid w:val="006D16B0"/>
    <w:rsid w:val="006D1C2A"/>
    <w:rsid w:val="006D1F62"/>
    <w:rsid w:val="006D3026"/>
    <w:rsid w:val="006D357F"/>
    <w:rsid w:val="006D3B4E"/>
    <w:rsid w:val="006D48C0"/>
    <w:rsid w:val="006D4AB2"/>
    <w:rsid w:val="006D4AC5"/>
    <w:rsid w:val="006D4CDA"/>
    <w:rsid w:val="006D56BA"/>
    <w:rsid w:val="006D5E89"/>
    <w:rsid w:val="006D792D"/>
    <w:rsid w:val="006E0568"/>
    <w:rsid w:val="006E0670"/>
    <w:rsid w:val="006E0AAB"/>
    <w:rsid w:val="006E14A3"/>
    <w:rsid w:val="006E17AF"/>
    <w:rsid w:val="006E2557"/>
    <w:rsid w:val="006E322D"/>
    <w:rsid w:val="006E3EF8"/>
    <w:rsid w:val="006E613B"/>
    <w:rsid w:val="006E61F0"/>
    <w:rsid w:val="006E7E77"/>
    <w:rsid w:val="006F0C0B"/>
    <w:rsid w:val="006F0CE9"/>
    <w:rsid w:val="006F187C"/>
    <w:rsid w:val="006F1BC1"/>
    <w:rsid w:val="006F38B6"/>
    <w:rsid w:val="006F3F37"/>
    <w:rsid w:val="006F4F59"/>
    <w:rsid w:val="006F5B40"/>
    <w:rsid w:val="00700CDB"/>
    <w:rsid w:val="0070105C"/>
    <w:rsid w:val="00701566"/>
    <w:rsid w:val="00701D56"/>
    <w:rsid w:val="00701E1F"/>
    <w:rsid w:val="00701EA4"/>
    <w:rsid w:val="00701F98"/>
    <w:rsid w:val="00702697"/>
    <w:rsid w:val="00702915"/>
    <w:rsid w:val="0070480C"/>
    <w:rsid w:val="007055E6"/>
    <w:rsid w:val="00706029"/>
    <w:rsid w:val="00706BEB"/>
    <w:rsid w:val="00706E95"/>
    <w:rsid w:val="0070729B"/>
    <w:rsid w:val="00707EEA"/>
    <w:rsid w:val="007102AD"/>
    <w:rsid w:val="00710832"/>
    <w:rsid w:val="00710C44"/>
    <w:rsid w:val="00710C7B"/>
    <w:rsid w:val="0071144A"/>
    <w:rsid w:val="007115C9"/>
    <w:rsid w:val="00711D58"/>
    <w:rsid w:val="00712DCE"/>
    <w:rsid w:val="00713134"/>
    <w:rsid w:val="00713F7C"/>
    <w:rsid w:val="007140B7"/>
    <w:rsid w:val="00714107"/>
    <w:rsid w:val="0071420B"/>
    <w:rsid w:val="007146E2"/>
    <w:rsid w:val="00714748"/>
    <w:rsid w:val="007152C7"/>
    <w:rsid w:val="00715A76"/>
    <w:rsid w:val="00716E2A"/>
    <w:rsid w:val="007174A7"/>
    <w:rsid w:val="007206E2"/>
    <w:rsid w:val="007207F8"/>
    <w:rsid w:val="0072111A"/>
    <w:rsid w:val="0072151E"/>
    <w:rsid w:val="00721EB4"/>
    <w:rsid w:val="007226A4"/>
    <w:rsid w:val="00722895"/>
    <w:rsid w:val="00723858"/>
    <w:rsid w:val="00723B51"/>
    <w:rsid w:val="00723EF1"/>
    <w:rsid w:val="0072425D"/>
    <w:rsid w:val="0072485C"/>
    <w:rsid w:val="00725230"/>
    <w:rsid w:val="00725517"/>
    <w:rsid w:val="00725CF4"/>
    <w:rsid w:val="00726816"/>
    <w:rsid w:val="00726F97"/>
    <w:rsid w:val="0072743F"/>
    <w:rsid w:val="00727A41"/>
    <w:rsid w:val="00727D70"/>
    <w:rsid w:val="00730291"/>
    <w:rsid w:val="00730362"/>
    <w:rsid w:val="00730614"/>
    <w:rsid w:val="00731338"/>
    <w:rsid w:val="007325D8"/>
    <w:rsid w:val="00732BDD"/>
    <w:rsid w:val="00734584"/>
    <w:rsid w:val="00734EBF"/>
    <w:rsid w:val="00735926"/>
    <w:rsid w:val="007404BF"/>
    <w:rsid w:val="0074051A"/>
    <w:rsid w:val="007407F5"/>
    <w:rsid w:val="00740E04"/>
    <w:rsid w:val="00740E08"/>
    <w:rsid w:val="00741A21"/>
    <w:rsid w:val="00743087"/>
    <w:rsid w:val="00743F3C"/>
    <w:rsid w:val="00744F19"/>
    <w:rsid w:val="007460D0"/>
    <w:rsid w:val="007473DE"/>
    <w:rsid w:val="0074796E"/>
    <w:rsid w:val="0075070F"/>
    <w:rsid w:val="00750FA4"/>
    <w:rsid w:val="00752094"/>
    <w:rsid w:val="0075220E"/>
    <w:rsid w:val="00752D71"/>
    <w:rsid w:val="0075392B"/>
    <w:rsid w:val="00753BD2"/>
    <w:rsid w:val="00753EA5"/>
    <w:rsid w:val="00754F9A"/>
    <w:rsid w:val="00755D86"/>
    <w:rsid w:val="00755FF3"/>
    <w:rsid w:val="00756CD6"/>
    <w:rsid w:val="00756E80"/>
    <w:rsid w:val="00757251"/>
    <w:rsid w:val="00757D0F"/>
    <w:rsid w:val="007600A5"/>
    <w:rsid w:val="0076113D"/>
    <w:rsid w:val="007612D2"/>
    <w:rsid w:val="00761747"/>
    <w:rsid w:val="0076248D"/>
    <w:rsid w:val="007638BF"/>
    <w:rsid w:val="00763C8F"/>
    <w:rsid w:val="00764A08"/>
    <w:rsid w:val="0076504A"/>
    <w:rsid w:val="0076553F"/>
    <w:rsid w:val="00765BB0"/>
    <w:rsid w:val="00765F33"/>
    <w:rsid w:val="0076736D"/>
    <w:rsid w:val="00767681"/>
    <w:rsid w:val="00770441"/>
    <w:rsid w:val="00772EDD"/>
    <w:rsid w:val="00773F4C"/>
    <w:rsid w:val="00774C06"/>
    <w:rsid w:val="007756F9"/>
    <w:rsid w:val="00775866"/>
    <w:rsid w:val="00775E68"/>
    <w:rsid w:val="00776164"/>
    <w:rsid w:val="00780313"/>
    <w:rsid w:val="00780490"/>
    <w:rsid w:val="007811EC"/>
    <w:rsid w:val="0078213A"/>
    <w:rsid w:val="007825A5"/>
    <w:rsid w:val="00782F13"/>
    <w:rsid w:val="0078375E"/>
    <w:rsid w:val="007837A3"/>
    <w:rsid w:val="00783810"/>
    <w:rsid w:val="00783F45"/>
    <w:rsid w:val="00784592"/>
    <w:rsid w:val="00784695"/>
    <w:rsid w:val="00785274"/>
    <w:rsid w:val="00786A7F"/>
    <w:rsid w:val="00786ACF"/>
    <w:rsid w:val="00786D9D"/>
    <w:rsid w:val="00786F91"/>
    <w:rsid w:val="00787D86"/>
    <w:rsid w:val="007901AC"/>
    <w:rsid w:val="007904D1"/>
    <w:rsid w:val="00791257"/>
    <w:rsid w:val="00792283"/>
    <w:rsid w:val="00792ACD"/>
    <w:rsid w:val="007967F3"/>
    <w:rsid w:val="00796C12"/>
    <w:rsid w:val="00797515"/>
    <w:rsid w:val="0079758C"/>
    <w:rsid w:val="00797D67"/>
    <w:rsid w:val="007A0C18"/>
    <w:rsid w:val="007A11A6"/>
    <w:rsid w:val="007A1DF8"/>
    <w:rsid w:val="007A22E2"/>
    <w:rsid w:val="007A266A"/>
    <w:rsid w:val="007A28D2"/>
    <w:rsid w:val="007A2E6C"/>
    <w:rsid w:val="007A2EB8"/>
    <w:rsid w:val="007A37CF"/>
    <w:rsid w:val="007A389E"/>
    <w:rsid w:val="007A4646"/>
    <w:rsid w:val="007A4BB9"/>
    <w:rsid w:val="007A4E02"/>
    <w:rsid w:val="007A4F53"/>
    <w:rsid w:val="007A50DD"/>
    <w:rsid w:val="007A531B"/>
    <w:rsid w:val="007A6754"/>
    <w:rsid w:val="007A7E79"/>
    <w:rsid w:val="007A7EB0"/>
    <w:rsid w:val="007B0146"/>
    <w:rsid w:val="007B2184"/>
    <w:rsid w:val="007B27D1"/>
    <w:rsid w:val="007B2DFF"/>
    <w:rsid w:val="007B2E81"/>
    <w:rsid w:val="007B3285"/>
    <w:rsid w:val="007B32F4"/>
    <w:rsid w:val="007B4027"/>
    <w:rsid w:val="007B517D"/>
    <w:rsid w:val="007B6895"/>
    <w:rsid w:val="007B6FF9"/>
    <w:rsid w:val="007B7278"/>
    <w:rsid w:val="007C1579"/>
    <w:rsid w:val="007C2508"/>
    <w:rsid w:val="007C3119"/>
    <w:rsid w:val="007C3657"/>
    <w:rsid w:val="007C57E7"/>
    <w:rsid w:val="007C5865"/>
    <w:rsid w:val="007C5FB3"/>
    <w:rsid w:val="007C7372"/>
    <w:rsid w:val="007C7443"/>
    <w:rsid w:val="007C7C17"/>
    <w:rsid w:val="007D1274"/>
    <w:rsid w:val="007D12D5"/>
    <w:rsid w:val="007D1C56"/>
    <w:rsid w:val="007D2B88"/>
    <w:rsid w:val="007D42BD"/>
    <w:rsid w:val="007D42D2"/>
    <w:rsid w:val="007D4CFB"/>
    <w:rsid w:val="007D5D30"/>
    <w:rsid w:val="007D6623"/>
    <w:rsid w:val="007D6B34"/>
    <w:rsid w:val="007D6E8E"/>
    <w:rsid w:val="007E283C"/>
    <w:rsid w:val="007E32D1"/>
    <w:rsid w:val="007E3D9D"/>
    <w:rsid w:val="007E548C"/>
    <w:rsid w:val="007E5AF1"/>
    <w:rsid w:val="007E5B36"/>
    <w:rsid w:val="007E602A"/>
    <w:rsid w:val="007E6418"/>
    <w:rsid w:val="007E6EB2"/>
    <w:rsid w:val="007E78F7"/>
    <w:rsid w:val="007E7A56"/>
    <w:rsid w:val="007F04A7"/>
    <w:rsid w:val="007F08CD"/>
    <w:rsid w:val="007F2DC9"/>
    <w:rsid w:val="007F2DE5"/>
    <w:rsid w:val="007F4003"/>
    <w:rsid w:val="007F5496"/>
    <w:rsid w:val="007F54C7"/>
    <w:rsid w:val="007F55A4"/>
    <w:rsid w:val="007F6109"/>
    <w:rsid w:val="007F64FF"/>
    <w:rsid w:val="007F66F2"/>
    <w:rsid w:val="007F6713"/>
    <w:rsid w:val="007F6FF0"/>
    <w:rsid w:val="007F7A60"/>
    <w:rsid w:val="007F7F66"/>
    <w:rsid w:val="00801673"/>
    <w:rsid w:val="008018FE"/>
    <w:rsid w:val="0080215B"/>
    <w:rsid w:val="00802998"/>
    <w:rsid w:val="00803677"/>
    <w:rsid w:val="00803ECD"/>
    <w:rsid w:val="008076BE"/>
    <w:rsid w:val="008101EF"/>
    <w:rsid w:val="00810389"/>
    <w:rsid w:val="00810683"/>
    <w:rsid w:val="0081100C"/>
    <w:rsid w:val="008126D7"/>
    <w:rsid w:val="008148AB"/>
    <w:rsid w:val="00814967"/>
    <w:rsid w:val="00814F85"/>
    <w:rsid w:val="00815593"/>
    <w:rsid w:val="008161E9"/>
    <w:rsid w:val="0081635F"/>
    <w:rsid w:val="008166F3"/>
    <w:rsid w:val="008200BA"/>
    <w:rsid w:val="00821F41"/>
    <w:rsid w:val="008227C1"/>
    <w:rsid w:val="0082390C"/>
    <w:rsid w:val="008246AA"/>
    <w:rsid w:val="00824A4B"/>
    <w:rsid w:val="008253A8"/>
    <w:rsid w:val="008269CA"/>
    <w:rsid w:val="00826DA1"/>
    <w:rsid w:val="00826FB9"/>
    <w:rsid w:val="008278EE"/>
    <w:rsid w:val="00827B5C"/>
    <w:rsid w:val="00827C23"/>
    <w:rsid w:val="00830B49"/>
    <w:rsid w:val="00830C85"/>
    <w:rsid w:val="0083120E"/>
    <w:rsid w:val="00831769"/>
    <w:rsid w:val="00832ED4"/>
    <w:rsid w:val="00833F84"/>
    <w:rsid w:val="00835DCA"/>
    <w:rsid w:val="00836577"/>
    <w:rsid w:val="00836B34"/>
    <w:rsid w:val="00837537"/>
    <w:rsid w:val="00837AB9"/>
    <w:rsid w:val="008403FC"/>
    <w:rsid w:val="00840BA8"/>
    <w:rsid w:val="0084177A"/>
    <w:rsid w:val="00841935"/>
    <w:rsid w:val="00842382"/>
    <w:rsid w:val="0084262E"/>
    <w:rsid w:val="00843C3C"/>
    <w:rsid w:val="008465EE"/>
    <w:rsid w:val="00846860"/>
    <w:rsid w:val="008469E8"/>
    <w:rsid w:val="00846A17"/>
    <w:rsid w:val="00847115"/>
    <w:rsid w:val="008508F0"/>
    <w:rsid w:val="00850A39"/>
    <w:rsid w:val="008510AB"/>
    <w:rsid w:val="00851665"/>
    <w:rsid w:val="00852B80"/>
    <w:rsid w:val="008531F7"/>
    <w:rsid w:val="008535C9"/>
    <w:rsid w:val="008545ED"/>
    <w:rsid w:val="00854E16"/>
    <w:rsid w:val="00854EEA"/>
    <w:rsid w:val="008553AC"/>
    <w:rsid w:val="0085670E"/>
    <w:rsid w:val="0085732B"/>
    <w:rsid w:val="008576FE"/>
    <w:rsid w:val="0085785A"/>
    <w:rsid w:val="00857EC8"/>
    <w:rsid w:val="0086174B"/>
    <w:rsid w:val="0086352C"/>
    <w:rsid w:val="00863A3C"/>
    <w:rsid w:val="008653A4"/>
    <w:rsid w:val="00865B55"/>
    <w:rsid w:val="0086781E"/>
    <w:rsid w:val="008678C1"/>
    <w:rsid w:val="0087051D"/>
    <w:rsid w:val="008705BC"/>
    <w:rsid w:val="00871292"/>
    <w:rsid w:val="0087179B"/>
    <w:rsid w:val="00871A09"/>
    <w:rsid w:val="008720BA"/>
    <w:rsid w:val="00873573"/>
    <w:rsid w:val="00873678"/>
    <w:rsid w:val="00873AAD"/>
    <w:rsid w:val="00873F4B"/>
    <w:rsid w:val="008751EF"/>
    <w:rsid w:val="00877714"/>
    <w:rsid w:val="008826E1"/>
    <w:rsid w:val="00882C84"/>
    <w:rsid w:val="00883205"/>
    <w:rsid w:val="00883E37"/>
    <w:rsid w:val="00885B32"/>
    <w:rsid w:val="00886A6B"/>
    <w:rsid w:val="008870EA"/>
    <w:rsid w:val="00887917"/>
    <w:rsid w:val="00890244"/>
    <w:rsid w:val="008921FC"/>
    <w:rsid w:val="008933BC"/>
    <w:rsid w:val="00893C9D"/>
    <w:rsid w:val="00894397"/>
    <w:rsid w:val="008952DD"/>
    <w:rsid w:val="00895A4F"/>
    <w:rsid w:val="00895BEC"/>
    <w:rsid w:val="00896647"/>
    <w:rsid w:val="00896CF4"/>
    <w:rsid w:val="00896EBF"/>
    <w:rsid w:val="00896FB5"/>
    <w:rsid w:val="00897882"/>
    <w:rsid w:val="00897A35"/>
    <w:rsid w:val="008A0C71"/>
    <w:rsid w:val="008A337B"/>
    <w:rsid w:val="008A37C7"/>
    <w:rsid w:val="008A5B5D"/>
    <w:rsid w:val="008A6ADB"/>
    <w:rsid w:val="008A6AFD"/>
    <w:rsid w:val="008A74EC"/>
    <w:rsid w:val="008B065B"/>
    <w:rsid w:val="008B192A"/>
    <w:rsid w:val="008B1B98"/>
    <w:rsid w:val="008B1D2C"/>
    <w:rsid w:val="008B3D4E"/>
    <w:rsid w:val="008B54C7"/>
    <w:rsid w:val="008B5767"/>
    <w:rsid w:val="008B58E4"/>
    <w:rsid w:val="008B5F9A"/>
    <w:rsid w:val="008B6FFD"/>
    <w:rsid w:val="008B7AC4"/>
    <w:rsid w:val="008C0A97"/>
    <w:rsid w:val="008C119D"/>
    <w:rsid w:val="008C23EE"/>
    <w:rsid w:val="008C311F"/>
    <w:rsid w:val="008C44BD"/>
    <w:rsid w:val="008C5268"/>
    <w:rsid w:val="008C5BB1"/>
    <w:rsid w:val="008C656D"/>
    <w:rsid w:val="008C7012"/>
    <w:rsid w:val="008C76D4"/>
    <w:rsid w:val="008C799B"/>
    <w:rsid w:val="008D34D8"/>
    <w:rsid w:val="008D4259"/>
    <w:rsid w:val="008D4ADC"/>
    <w:rsid w:val="008D557B"/>
    <w:rsid w:val="008D5EB9"/>
    <w:rsid w:val="008D5EEA"/>
    <w:rsid w:val="008D6B40"/>
    <w:rsid w:val="008E0DB2"/>
    <w:rsid w:val="008E177E"/>
    <w:rsid w:val="008E2177"/>
    <w:rsid w:val="008E27A1"/>
    <w:rsid w:val="008E3095"/>
    <w:rsid w:val="008E3BA7"/>
    <w:rsid w:val="008E6339"/>
    <w:rsid w:val="008E7246"/>
    <w:rsid w:val="008F00B9"/>
    <w:rsid w:val="008F0C2F"/>
    <w:rsid w:val="008F10DE"/>
    <w:rsid w:val="008F2533"/>
    <w:rsid w:val="008F2E25"/>
    <w:rsid w:val="008F511E"/>
    <w:rsid w:val="008F5800"/>
    <w:rsid w:val="008F5B52"/>
    <w:rsid w:val="008F5BCC"/>
    <w:rsid w:val="008F718C"/>
    <w:rsid w:val="008F792C"/>
    <w:rsid w:val="008F7C66"/>
    <w:rsid w:val="00900E5A"/>
    <w:rsid w:val="009034CB"/>
    <w:rsid w:val="00904BAC"/>
    <w:rsid w:val="009055A2"/>
    <w:rsid w:val="0090601C"/>
    <w:rsid w:val="0090650D"/>
    <w:rsid w:val="009102E6"/>
    <w:rsid w:val="00910DD5"/>
    <w:rsid w:val="00911EAA"/>
    <w:rsid w:val="0091232D"/>
    <w:rsid w:val="00913931"/>
    <w:rsid w:val="00913C6B"/>
    <w:rsid w:val="0091483F"/>
    <w:rsid w:val="00914C4E"/>
    <w:rsid w:val="00914CF0"/>
    <w:rsid w:val="00914F01"/>
    <w:rsid w:val="00916297"/>
    <w:rsid w:val="00916EDA"/>
    <w:rsid w:val="009172A5"/>
    <w:rsid w:val="0092166F"/>
    <w:rsid w:val="00921F4D"/>
    <w:rsid w:val="00922CBE"/>
    <w:rsid w:val="0092318C"/>
    <w:rsid w:val="00923B74"/>
    <w:rsid w:val="00923DFE"/>
    <w:rsid w:val="00924D5A"/>
    <w:rsid w:val="0092562B"/>
    <w:rsid w:val="0092571E"/>
    <w:rsid w:val="00925C9F"/>
    <w:rsid w:val="0092694F"/>
    <w:rsid w:val="00931306"/>
    <w:rsid w:val="00931529"/>
    <w:rsid w:val="0093413C"/>
    <w:rsid w:val="00935E32"/>
    <w:rsid w:val="009363BA"/>
    <w:rsid w:val="00936891"/>
    <w:rsid w:val="00936F37"/>
    <w:rsid w:val="00940675"/>
    <w:rsid w:val="00941153"/>
    <w:rsid w:val="00942F76"/>
    <w:rsid w:val="00944836"/>
    <w:rsid w:val="00944F2C"/>
    <w:rsid w:val="00945402"/>
    <w:rsid w:val="00947125"/>
    <w:rsid w:val="00947418"/>
    <w:rsid w:val="00951052"/>
    <w:rsid w:val="009519A5"/>
    <w:rsid w:val="00951A07"/>
    <w:rsid w:val="00951C62"/>
    <w:rsid w:val="00951C6A"/>
    <w:rsid w:val="0095254B"/>
    <w:rsid w:val="00954AAF"/>
    <w:rsid w:val="00954C92"/>
    <w:rsid w:val="00954CDF"/>
    <w:rsid w:val="00955287"/>
    <w:rsid w:val="00955E20"/>
    <w:rsid w:val="0095700F"/>
    <w:rsid w:val="009578AD"/>
    <w:rsid w:val="00960077"/>
    <w:rsid w:val="009602A4"/>
    <w:rsid w:val="00960386"/>
    <w:rsid w:val="0096177C"/>
    <w:rsid w:val="009624D7"/>
    <w:rsid w:val="0096283A"/>
    <w:rsid w:val="009632A1"/>
    <w:rsid w:val="00965DC1"/>
    <w:rsid w:val="009660E0"/>
    <w:rsid w:val="009665BB"/>
    <w:rsid w:val="009672CF"/>
    <w:rsid w:val="00967E24"/>
    <w:rsid w:val="0097057E"/>
    <w:rsid w:val="00970AAB"/>
    <w:rsid w:val="009718E3"/>
    <w:rsid w:val="0097235C"/>
    <w:rsid w:val="009728FB"/>
    <w:rsid w:val="00973154"/>
    <w:rsid w:val="00973B14"/>
    <w:rsid w:val="00975B13"/>
    <w:rsid w:val="00976495"/>
    <w:rsid w:val="00976D43"/>
    <w:rsid w:val="009770DD"/>
    <w:rsid w:val="0097713F"/>
    <w:rsid w:val="0098043C"/>
    <w:rsid w:val="00980529"/>
    <w:rsid w:val="00980D63"/>
    <w:rsid w:val="0098296F"/>
    <w:rsid w:val="00983DE6"/>
    <w:rsid w:val="00984187"/>
    <w:rsid w:val="009851FB"/>
    <w:rsid w:val="00986133"/>
    <w:rsid w:val="00986240"/>
    <w:rsid w:val="00987243"/>
    <w:rsid w:val="00990591"/>
    <w:rsid w:val="0099088B"/>
    <w:rsid w:val="00991149"/>
    <w:rsid w:val="0099141C"/>
    <w:rsid w:val="0099214E"/>
    <w:rsid w:val="00992DB9"/>
    <w:rsid w:val="00992DF6"/>
    <w:rsid w:val="0099316A"/>
    <w:rsid w:val="0099375D"/>
    <w:rsid w:val="0099378F"/>
    <w:rsid w:val="00995410"/>
    <w:rsid w:val="00995ECA"/>
    <w:rsid w:val="00996B89"/>
    <w:rsid w:val="00997149"/>
    <w:rsid w:val="009978B5"/>
    <w:rsid w:val="00997CAF"/>
    <w:rsid w:val="009A0381"/>
    <w:rsid w:val="009A0479"/>
    <w:rsid w:val="009A16F2"/>
    <w:rsid w:val="009A1C52"/>
    <w:rsid w:val="009A2241"/>
    <w:rsid w:val="009A2ECA"/>
    <w:rsid w:val="009A432B"/>
    <w:rsid w:val="009A4A9B"/>
    <w:rsid w:val="009A4F97"/>
    <w:rsid w:val="009A63B2"/>
    <w:rsid w:val="009A6496"/>
    <w:rsid w:val="009A6923"/>
    <w:rsid w:val="009A69F3"/>
    <w:rsid w:val="009A71E1"/>
    <w:rsid w:val="009A75D9"/>
    <w:rsid w:val="009A7AA5"/>
    <w:rsid w:val="009B14A7"/>
    <w:rsid w:val="009B19E9"/>
    <w:rsid w:val="009B1C62"/>
    <w:rsid w:val="009B1ED7"/>
    <w:rsid w:val="009B2B35"/>
    <w:rsid w:val="009B4173"/>
    <w:rsid w:val="009B72B9"/>
    <w:rsid w:val="009C1139"/>
    <w:rsid w:val="009C16F6"/>
    <w:rsid w:val="009C1AEF"/>
    <w:rsid w:val="009C1CDD"/>
    <w:rsid w:val="009C1DA7"/>
    <w:rsid w:val="009C228F"/>
    <w:rsid w:val="009C35C1"/>
    <w:rsid w:val="009C36B1"/>
    <w:rsid w:val="009C391A"/>
    <w:rsid w:val="009C3F6E"/>
    <w:rsid w:val="009C445D"/>
    <w:rsid w:val="009C4610"/>
    <w:rsid w:val="009C5243"/>
    <w:rsid w:val="009C5377"/>
    <w:rsid w:val="009C5970"/>
    <w:rsid w:val="009C631F"/>
    <w:rsid w:val="009C73D0"/>
    <w:rsid w:val="009D04BD"/>
    <w:rsid w:val="009D0746"/>
    <w:rsid w:val="009D0E64"/>
    <w:rsid w:val="009D11A5"/>
    <w:rsid w:val="009D131F"/>
    <w:rsid w:val="009D1E71"/>
    <w:rsid w:val="009D21AD"/>
    <w:rsid w:val="009D24C1"/>
    <w:rsid w:val="009D3548"/>
    <w:rsid w:val="009D4035"/>
    <w:rsid w:val="009D4079"/>
    <w:rsid w:val="009D4C0D"/>
    <w:rsid w:val="009D544F"/>
    <w:rsid w:val="009D5CB6"/>
    <w:rsid w:val="009D5E6D"/>
    <w:rsid w:val="009D6D68"/>
    <w:rsid w:val="009D6E55"/>
    <w:rsid w:val="009D76EB"/>
    <w:rsid w:val="009E0989"/>
    <w:rsid w:val="009E1A3A"/>
    <w:rsid w:val="009E26C6"/>
    <w:rsid w:val="009E3742"/>
    <w:rsid w:val="009E429B"/>
    <w:rsid w:val="009E4425"/>
    <w:rsid w:val="009E45C4"/>
    <w:rsid w:val="009E4BCC"/>
    <w:rsid w:val="009E4ED5"/>
    <w:rsid w:val="009E6A43"/>
    <w:rsid w:val="009F0535"/>
    <w:rsid w:val="009F0EBD"/>
    <w:rsid w:val="009F111B"/>
    <w:rsid w:val="009F1CA7"/>
    <w:rsid w:val="009F22E3"/>
    <w:rsid w:val="009F2F32"/>
    <w:rsid w:val="009F33B9"/>
    <w:rsid w:val="009F3768"/>
    <w:rsid w:val="009F6543"/>
    <w:rsid w:val="009F7B40"/>
    <w:rsid w:val="00A0007D"/>
    <w:rsid w:val="00A00B16"/>
    <w:rsid w:val="00A02498"/>
    <w:rsid w:val="00A02763"/>
    <w:rsid w:val="00A027A6"/>
    <w:rsid w:val="00A02A78"/>
    <w:rsid w:val="00A02C19"/>
    <w:rsid w:val="00A030E1"/>
    <w:rsid w:val="00A04A55"/>
    <w:rsid w:val="00A05A42"/>
    <w:rsid w:val="00A05E2B"/>
    <w:rsid w:val="00A0614A"/>
    <w:rsid w:val="00A062D8"/>
    <w:rsid w:val="00A06574"/>
    <w:rsid w:val="00A07652"/>
    <w:rsid w:val="00A07AA4"/>
    <w:rsid w:val="00A10823"/>
    <w:rsid w:val="00A10DCE"/>
    <w:rsid w:val="00A11377"/>
    <w:rsid w:val="00A1175C"/>
    <w:rsid w:val="00A11785"/>
    <w:rsid w:val="00A1182B"/>
    <w:rsid w:val="00A11D00"/>
    <w:rsid w:val="00A11F0D"/>
    <w:rsid w:val="00A123A8"/>
    <w:rsid w:val="00A13443"/>
    <w:rsid w:val="00A1389D"/>
    <w:rsid w:val="00A167D3"/>
    <w:rsid w:val="00A179CF"/>
    <w:rsid w:val="00A2228E"/>
    <w:rsid w:val="00A222CA"/>
    <w:rsid w:val="00A22956"/>
    <w:rsid w:val="00A23CC9"/>
    <w:rsid w:val="00A23D67"/>
    <w:rsid w:val="00A24A60"/>
    <w:rsid w:val="00A24AC9"/>
    <w:rsid w:val="00A26A1A"/>
    <w:rsid w:val="00A307D7"/>
    <w:rsid w:val="00A31055"/>
    <w:rsid w:val="00A3113E"/>
    <w:rsid w:val="00A31B31"/>
    <w:rsid w:val="00A3423F"/>
    <w:rsid w:val="00A346BE"/>
    <w:rsid w:val="00A3552C"/>
    <w:rsid w:val="00A35D87"/>
    <w:rsid w:val="00A35E28"/>
    <w:rsid w:val="00A36DC2"/>
    <w:rsid w:val="00A405C2"/>
    <w:rsid w:val="00A40922"/>
    <w:rsid w:val="00A40A20"/>
    <w:rsid w:val="00A41756"/>
    <w:rsid w:val="00A4249D"/>
    <w:rsid w:val="00A43498"/>
    <w:rsid w:val="00A43E80"/>
    <w:rsid w:val="00A451C3"/>
    <w:rsid w:val="00A4594D"/>
    <w:rsid w:val="00A45E46"/>
    <w:rsid w:val="00A464EC"/>
    <w:rsid w:val="00A5075C"/>
    <w:rsid w:val="00A50AF8"/>
    <w:rsid w:val="00A50C64"/>
    <w:rsid w:val="00A53041"/>
    <w:rsid w:val="00A5334F"/>
    <w:rsid w:val="00A540FB"/>
    <w:rsid w:val="00A545F0"/>
    <w:rsid w:val="00A55063"/>
    <w:rsid w:val="00A55B08"/>
    <w:rsid w:val="00A56EF7"/>
    <w:rsid w:val="00A5710D"/>
    <w:rsid w:val="00A574FB"/>
    <w:rsid w:val="00A57C6C"/>
    <w:rsid w:val="00A57DE6"/>
    <w:rsid w:val="00A6112B"/>
    <w:rsid w:val="00A61789"/>
    <w:rsid w:val="00A6179A"/>
    <w:rsid w:val="00A617A0"/>
    <w:rsid w:val="00A63AC1"/>
    <w:rsid w:val="00A63B99"/>
    <w:rsid w:val="00A6455E"/>
    <w:rsid w:val="00A647E1"/>
    <w:rsid w:val="00A65147"/>
    <w:rsid w:val="00A658D0"/>
    <w:rsid w:val="00A65914"/>
    <w:rsid w:val="00A66332"/>
    <w:rsid w:val="00A6708E"/>
    <w:rsid w:val="00A670C6"/>
    <w:rsid w:val="00A677BA"/>
    <w:rsid w:val="00A67A87"/>
    <w:rsid w:val="00A67D9E"/>
    <w:rsid w:val="00A70EB8"/>
    <w:rsid w:val="00A722B3"/>
    <w:rsid w:val="00A7291F"/>
    <w:rsid w:val="00A73307"/>
    <w:rsid w:val="00A73CC0"/>
    <w:rsid w:val="00A7687D"/>
    <w:rsid w:val="00A76925"/>
    <w:rsid w:val="00A76CCB"/>
    <w:rsid w:val="00A77755"/>
    <w:rsid w:val="00A77D06"/>
    <w:rsid w:val="00A809CA"/>
    <w:rsid w:val="00A80E05"/>
    <w:rsid w:val="00A80E61"/>
    <w:rsid w:val="00A816D9"/>
    <w:rsid w:val="00A81F96"/>
    <w:rsid w:val="00A82922"/>
    <w:rsid w:val="00A82A0B"/>
    <w:rsid w:val="00A857E0"/>
    <w:rsid w:val="00A86A1D"/>
    <w:rsid w:val="00A86AC0"/>
    <w:rsid w:val="00A87189"/>
    <w:rsid w:val="00A87210"/>
    <w:rsid w:val="00A8795D"/>
    <w:rsid w:val="00A903A0"/>
    <w:rsid w:val="00A914B1"/>
    <w:rsid w:val="00A91615"/>
    <w:rsid w:val="00A935FD"/>
    <w:rsid w:val="00A93C67"/>
    <w:rsid w:val="00A942DE"/>
    <w:rsid w:val="00A94961"/>
    <w:rsid w:val="00A96728"/>
    <w:rsid w:val="00A96822"/>
    <w:rsid w:val="00A96CA6"/>
    <w:rsid w:val="00A9703F"/>
    <w:rsid w:val="00A9726F"/>
    <w:rsid w:val="00A976B0"/>
    <w:rsid w:val="00AA2DE1"/>
    <w:rsid w:val="00AA4BBA"/>
    <w:rsid w:val="00AA6AAC"/>
    <w:rsid w:val="00AA7158"/>
    <w:rsid w:val="00AA71BB"/>
    <w:rsid w:val="00AA7354"/>
    <w:rsid w:val="00AA7568"/>
    <w:rsid w:val="00AA7AA1"/>
    <w:rsid w:val="00AB0C6B"/>
    <w:rsid w:val="00AB1407"/>
    <w:rsid w:val="00AB3324"/>
    <w:rsid w:val="00AB3AB8"/>
    <w:rsid w:val="00AB488C"/>
    <w:rsid w:val="00AB5381"/>
    <w:rsid w:val="00AB7012"/>
    <w:rsid w:val="00AC05DA"/>
    <w:rsid w:val="00AC14DD"/>
    <w:rsid w:val="00AC1997"/>
    <w:rsid w:val="00AC1C60"/>
    <w:rsid w:val="00AC2161"/>
    <w:rsid w:val="00AC2445"/>
    <w:rsid w:val="00AC2AB5"/>
    <w:rsid w:val="00AC35C9"/>
    <w:rsid w:val="00AC3737"/>
    <w:rsid w:val="00AC4C98"/>
    <w:rsid w:val="00AC6D18"/>
    <w:rsid w:val="00AC71CA"/>
    <w:rsid w:val="00AC783D"/>
    <w:rsid w:val="00AD0945"/>
    <w:rsid w:val="00AD17D4"/>
    <w:rsid w:val="00AD4127"/>
    <w:rsid w:val="00AD4A26"/>
    <w:rsid w:val="00AD5473"/>
    <w:rsid w:val="00AD5A1A"/>
    <w:rsid w:val="00AD71F5"/>
    <w:rsid w:val="00AD7918"/>
    <w:rsid w:val="00AE0603"/>
    <w:rsid w:val="00AE0982"/>
    <w:rsid w:val="00AE0BFC"/>
    <w:rsid w:val="00AE0E92"/>
    <w:rsid w:val="00AE126C"/>
    <w:rsid w:val="00AE1DDE"/>
    <w:rsid w:val="00AE389E"/>
    <w:rsid w:val="00AE3BCF"/>
    <w:rsid w:val="00AE529B"/>
    <w:rsid w:val="00AE5BB0"/>
    <w:rsid w:val="00AE5C20"/>
    <w:rsid w:val="00AE779C"/>
    <w:rsid w:val="00AF0244"/>
    <w:rsid w:val="00AF0A70"/>
    <w:rsid w:val="00AF16A4"/>
    <w:rsid w:val="00AF188C"/>
    <w:rsid w:val="00AF3E70"/>
    <w:rsid w:val="00AF440A"/>
    <w:rsid w:val="00AF44B8"/>
    <w:rsid w:val="00AF477C"/>
    <w:rsid w:val="00AF6034"/>
    <w:rsid w:val="00AF63FB"/>
    <w:rsid w:val="00AF68FB"/>
    <w:rsid w:val="00AF76B1"/>
    <w:rsid w:val="00AF77E5"/>
    <w:rsid w:val="00B003DB"/>
    <w:rsid w:val="00B00BE9"/>
    <w:rsid w:val="00B00D5F"/>
    <w:rsid w:val="00B01007"/>
    <w:rsid w:val="00B01774"/>
    <w:rsid w:val="00B02106"/>
    <w:rsid w:val="00B02B31"/>
    <w:rsid w:val="00B03871"/>
    <w:rsid w:val="00B041DF"/>
    <w:rsid w:val="00B04493"/>
    <w:rsid w:val="00B05A8C"/>
    <w:rsid w:val="00B061C3"/>
    <w:rsid w:val="00B0630F"/>
    <w:rsid w:val="00B07045"/>
    <w:rsid w:val="00B07119"/>
    <w:rsid w:val="00B07729"/>
    <w:rsid w:val="00B07AFA"/>
    <w:rsid w:val="00B1172E"/>
    <w:rsid w:val="00B117C3"/>
    <w:rsid w:val="00B11FC2"/>
    <w:rsid w:val="00B1225A"/>
    <w:rsid w:val="00B131F5"/>
    <w:rsid w:val="00B14428"/>
    <w:rsid w:val="00B1508D"/>
    <w:rsid w:val="00B1525A"/>
    <w:rsid w:val="00B15929"/>
    <w:rsid w:val="00B16186"/>
    <w:rsid w:val="00B16C09"/>
    <w:rsid w:val="00B20A95"/>
    <w:rsid w:val="00B21322"/>
    <w:rsid w:val="00B21E16"/>
    <w:rsid w:val="00B23CB7"/>
    <w:rsid w:val="00B240CD"/>
    <w:rsid w:val="00B243B0"/>
    <w:rsid w:val="00B248A5"/>
    <w:rsid w:val="00B26B4D"/>
    <w:rsid w:val="00B26CCA"/>
    <w:rsid w:val="00B27A79"/>
    <w:rsid w:val="00B307E8"/>
    <w:rsid w:val="00B30CAC"/>
    <w:rsid w:val="00B31352"/>
    <w:rsid w:val="00B31C0C"/>
    <w:rsid w:val="00B32416"/>
    <w:rsid w:val="00B32573"/>
    <w:rsid w:val="00B3285E"/>
    <w:rsid w:val="00B329C6"/>
    <w:rsid w:val="00B3374A"/>
    <w:rsid w:val="00B337FD"/>
    <w:rsid w:val="00B3387E"/>
    <w:rsid w:val="00B34425"/>
    <w:rsid w:val="00B34CBC"/>
    <w:rsid w:val="00B350F5"/>
    <w:rsid w:val="00B365C9"/>
    <w:rsid w:val="00B366BF"/>
    <w:rsid w:val="00B36B36"/>
    <w:rsid w:val="00B37404"/>
    <w:rsid w:val="00B400F1"/>
    <w:rsid w:val="00B403EE"/>
    <w:rsid w:val="00B4072D"/>
    <w:rsid w:val="00B410FC"/>
    <w:rsid w:val="00B413AD"/>
    <w:rsid w:val="00B4210A"/>
    <w:rsid w:val="00B42959"/>
    <w:rsid w:val="00B42C10"/>
    <w:rsid w:val="00B43D94"/>
    <w:rsid w:val="00B451F3"/>
    <w:rsid w:val="00B45915"/>
    <w:rsid w:val="00B459A6"/>
    <w:rsid w:val="00B52331"/>
    <w:rsid w:val="00B526C6"/>
    <w:rsid w:val="00B5280E"/>
    <w:rsid w:val="00B536E1"/>
    <w:rsid w:val="00B53906"/>
    <w:rsid w:val="00B5455E"/>
    <w:rsid w:val="00B54AE9"/>
    <w:rsid w:val="00B54B9A"/>
    <w:rsid w:val="00B54D2F"/>
    <w:rsid w:val="00B55B69"/>
    <w:rsid w:val="00B5645E"/>
    <w:rsid w:val="00B565EC"/>
    <w:rsid w:val="00B5683F"/>
    <w:rsid w:val="00B56B74"/>
    <w:rsid w:val="00B57F56"/>
    <w:rsid w:val="00B57F6F"/>
    <w:rsid w:val="00B60613"/>
    <w:rsid w:val="00B6102F"/>
    <w:rsid w:val="00B61269"/>
    <w:rsid w:val="00B61807"/>
    <w:rsid w:val="00B61FAA"/>
    <w:rsid w:val="00B6215A"/>
    <w:rsid w:val="00B62535"/>
    <w:rsid w:val="00B62EC1"/>
    <w:rsid w:val="00B64A36"/>
    <w:rsid w:val="00B64AB3"/>
    <w:rsid w:val="00B661C6"/>
    <w:rsid w:val="00B66B99"/>
    <w:rsid w:val="00B7010F"/>
    <w:rsid w:val="00B70664"/>
    <w:rsid w:val="00B70868"/>
    <w:rsid w:val="00B709FC"/>
    <w:rsid w:val="00B70E2E"/>
    <w:rsid w:val="00B718F6"/>
    <w:rsid w:val="00B7269F"/>
    <w:rsid w:val="00B726F9"/>
    <w:rsid w:val="00B72812"/>
    <w:rsid w:val="00B72867"/>
    <w:rsid w:val="00B72A43"/>
    <w:rsid w:val="00B73901"/>
    <w:rsid w:val="00B741FB"/>
    <w:rsid w:val="00B7512E"/>
    <w:rsid w:val="00B75137"/>
    <w:rsid w:val="00B75306"/>
    <w:rsid w:val="00B75826"/>
    <w:rsid w:val="00B75BA5"/>
    <w:rsid w:val="00B76DBF"/>
    <w:rsid w:val="00B770E6"/>
    <w:rsid w:val="00B77111"/>
    <w:rsid w:val="00B779BF"/>
    <w:rsid w:val="00B77DDB"/>
    <w:rsid w:val="00B80B56"/>
    <w:rsid w:val="00B80C5D"/>
    <w:rsid w:val="00B8137F"/>
    <w:rsid w:val="00B81F2A"/>
    <w:rsid w:val="00B8228E"/>
    <w:rsid w:val="00B827B3"/>
    <w:rsid w:val="00B828FA"/>
    <w:rsid w:val="00B82996"/>
    <w:rsid w:val="00B83798"/>
    <w:rsid w:val="00B844AA"/>
    <w:rsid w:val="00B85FB5"/>
    <w:rsid w:val="00B86582"/>
    <w:rsid w:val="00B9084B"/>
    <w:rsid w:val="00B90E80"/>
    <w:rsid w:val="00B90EF9"/>
    <w:rsid w:val="00B91E50"/>
    <w:rsid w:val="00B92610"/>
    <w:rsid w:val="00B92C3D"/>
    <w:rsid w:val="00B93D29"/>
    <w:rsid w:val="00B93E41"/>
    <w:rsid w:val="00B944DF"/>
    <w:rsid w:val="00B94709"/>
    <w:rsid w:val="00B94CDD"/>
    <w:rsid w:val="00B95545"/>
    <w:rsid w:val="00B95FE7"/>
    <w:rsid w:val="00B96524"/>
    <w:rsid w:val="00B9703C"/>
    <w:rsid w:val="00B978DC"/>
    <w:rsid w:val="00BA019E"/>
    <w:rsid w:val="00BA027F"/>
    <w:rsid w:val="00BA0F89"/>
    <w:rsid w:val="00BA129A"/>
    <w:rsid w:val="00BA1BF0"/>
    <w:rsid w:val="00BA1CFF"/>
    <w:rsid w:val="00BA1FDC"/>
    <w:rsid w:val="00BA24C0"/>
    <w:rsid w:val="00BA265C"/>
    <w:rsid w:val="00BA3AD7"/>
    <w:rsid w:val="00BA4CEA"/>
    <w:rsid w:val="00BA4DB8"/>
    <w:rsid w:val="00BA58A0"/>
    <w:rsid w:val="00BA5A55"/>
    <w:rsid w:val="00BA5F87"/>
    <w:rsid w:val="00BA76DD"/>
    <w:rsid w:val="00BB01A1"/>
    <w:rsid w:val="00BB1158"/>
    <w:rsid w:val="00BB1211"/>
    <w:rsid w:val="00BB15ED"/>
    <w:rsid w:val="00BB23FD"/>
    <w:rsid w:val="00BB2BBC"/>
    <w:rsid w:val="00BB44F6"/>
    <w:rsid w:val="00BB55F7"/>
    <w:rsid w:val="00BB5E09"/>
    <w:rsid w:val="00BB6C63"/>
    <w:rsid w:val="00BB72B4"/>
    <w:rsid w:val="00BB75F3"/>
    <w:rsid w:val="00BC11F3"/>
    <w:rsid w:val="00BC140D"/>
    <w:rsid w:val="00BC1A21"/>
    <w:rsid w:val="00BC2022"/>
    <w:rsid w:val="00BC2062"/>
    <w:rsid w:val="00BC2294"/>
    <w:rsid w:val="00BC24E6"/>
    <w:rsid w:val="00BC2F1A"/>
    <w:rsid w:val="00BC3070"/>
    <w:rsid w:val="00BC3F71"/>
    <w:rsid w:val="00BC46E7"/>
    <w:rsid w:val="00BC528B"/>
    <w:rsid w:val="00BC61D3"/>
    <w:rsid w:val="00BC746B"/>
    <w:rsid w:val="00BC7560"/>
    <w:rsid w:val="00BC7BA0"/>
    <w:rsid w:val="00BD0888"/>
    <w:rsid w:val="00BD0BCA"/>
    <w:rsid w:val="00BD182C"/>
    <w:rsid w:val="00BD1EC5"/>
    <w:rsid w:val="00BD273B"/>
    <w:rsid w:val="00BD2D01"/>
    <w:rsid w:val="00BD2E2E"/>
    <w:rsid w:val="00BD3DF8"/>
    <w:rsid w:val="00BD4B6A"/>
    <w:rsid w:val="00BD5E90"/>
    <w:rsid w:val="00BD66A2"/>
    <w:rsid w:val="00BE106B"/>
    <w:rsid w:val="00BE12A9"/>
    <w:rsid w:val="00BE19CC"/>
    <w:rsid w:val="00BE2017"/>
    <w:rsid w:val="00BE2D03"/>
    <w:rsid w:val="00BE3082"/>
    <w:rsid w:val="00BE545B"/>
    <w:rsid w:val="00BE628D"/>
    <w:rsid w:val="00BE6C83"/>
    <w:rsid w:val="00BE6EC8"/>
    <w:rsid w:val="00BF03AC"/>
    <w:rsid w:val="00BF08F9"/>
    <w:rsid w:val="00BF1A14"/>
    <w:rsid w:val="00BF1E9D"/>
    <w:rsid w:val="00BF240E"/>
    <w:rsid w:val="00BF2F06"/>
    <w:rsid w:val="00BF50EE"/>
    <w:rsid w:val="00BF5B10"/>
    <w:rsid w:val="00C01EF0"/>
    <w:rsid w:val="00C0243E"/>
    <w:rsid w:val="00C0385F"/>
    <w:rsid w:val="00C0391A"/>
    <w:rsid w:val="00C058AF"/>
    <w:rsid w:val="00C05994"/>
    <w:rsid w:val="00C05EEA"/>
    <w:rsid w:val="00C066DE"/>
    <w:rsid w:val="00C06942"/>
    <w:rsid w:val="00C073C6"/>
    <w:rsid w:val="00C0766C"/>
    <w:rsid w:val="00C07A54"/>
    <w:rsid w:val="00C07E24"/>
    <w:rsid w:val="00C10366"/>
    <w:rsid w:val="00C10EAD"/>
    <w:rsid w:val="00C110A4"/>
    <w:rsid w:val="00C116D7"/>
    <w:rsid w:val="00C13E86"/>
    <w:rsid w:val="00C1596C"/>
    <w:rsid w:val="00C163FC"/>
    <w:rsid w:val="00C1644C"/>
    <w:rsid w:val="00C17362"/>
    <w:rsid w:val="00C205E9"/>
    <w:rsid w:val="00C21374"/>
    <w:rsid w:val="00C216C2"/>
    <w:rsid w:val="00C2253B"/>
    <w:rsid w:val="00C2263D"/>
    <w:rsid w:val="00C23578"/>
    <w:rsid w:val="00C237FE"/>
    <w:rsid w:val="00C24A9F"/>
    <w:rsid w:val="00C25076"/>
    <w:rsid w:val="00C26E41"/>
    <w:rsid w:val="00C3009A"/>
    <w:rsid w:val="00C300E4"/>
    <w:rsid w:val="00C3101C"/>
    <w:rsid w:val="00C315DB"/>
    <w:rsid w:val="00C33332"/>
    <w:rsid w:val="00C333CE"/>
    <w:rsid w:val="00C338FC"/>
    <w:rsid w:val="00C3421C"/>
    <w:rsid w:val="00C34799"/>
    <w:rsid w:val="00C34F2F"/>
    <w:rsid w:val="00C36101"/>
    <w:rsid w:val="00C365FD"/>
    <w:rsid w:val="00C375D6"/>
    <w:rsid w:val="00C37EEA"/>
    <w:rsid w:val="00C40A0B"/>
    <w:rsid w:val="00C4131B"/>
    <w:rsid w:val="00C41B87"/>
    <w:rsid w:val="00C4424E"/>
    <w:rsid w:val="00C44414"/>
    <w:rsid w:val="00C45258"/>
    <w:rsid w:val="00C45D2A"/>
    <w:rsid w:val="00C4788E"/>
    <w:rsid w:val="00C47D18"/>
    <w:rsid w:val="00C500D9"/>
    <w:rsid w:val="00C51240"/>
    <w:rsid w:val="00C51E1F"/>
    <w:rsid w:val="00C51EEC"/>
    <w:rsid w:val="00C532A1"/>
    <w:rsid w:val="00C5364D"/>
    <w:rsid w:val="00C53B1B"/>
    <w:rsid w:val="00C53F3D"/>
    <w:rsid w:val="00C53F9B"/>
    <w:rsid w:val="00C55EC0"/>
    <w:rsid w:val="00C5788D"/>
    <w:rsid w:val="00C57FAD"/>
    <w:rsid w:val="00C60839"/>
    <w:rsid w:val="00C61B3D"/>
    <w:rsid w:val="00C6250D"/>
    <w:rsid w:val="00C62A8E"/>
    <w:rsid w:val="00C62EF1"/>
    <w:rsid w:val="00C6454F"/>
    <w:rsid w:val="00C6620B"/>
    <w:rsid w:val="00C676E3"/>
    <w:rsid w:val="00C70A83"/>
    <w:rsid w:val="00C715F0"/>
    <w:rsid w:val="00C72C6F"/>
    <w:rsid w:val="00C7389B"/>
    <w:rsid w:val="00C738BF"/>
    <w:rsid w:val="00C74132"/>
    <w:rsid w:val="00C74C7E"/>
    <w:rsid w:val="00C75CDE"/>
    <w:rsid w:val="00C75D8D"/>
    <w:rsid w:val="00C772EC"/>
    <w:rsid w:val="00C811C7"/>
    <w:rsid w:val="00C82232"/>
    <w:rsid w:val="00C828BB"/>
    <w:rsid w:val="00C83F0D"/>
    <w:rsid w:val="00C862A9"/>
    <w:rsid w:val="00C86F8B"/>
    <w:rsid w:val="00C9124A"/>
    <w:rsid w:val="00C92894"/>
    <w:rsid w:val="00C92BCF"/>
    <w:rsid w:val="00C946DB"/>
    <w:rsid w:val="00C94AEC"/>
    <w:rsid w:val="00C94FEA"/>
    <w:rsid w:val="00C9758A"/>
    <w:rsid w:val="00C976FA"/>
    <w:rsid w:val="00C9776E"/>
    <w:rsid w:val="00CA1502"/>
    <w:rsid w:val="00CA2ED2"/>
    <w:rsid w:val="00CA4EE4"/>
    <w:rsid w:val="00CA65A6"/>
    <w:rsid w:val="00CB0066"/>
    <w:rsid w:val="00CB0AB6"/>
    <w:rsid w:val="00CB0FC2"/>
    <w:rsid w:val="00CB1412"/>
    <w:rsid w:val="00CB299B"/>
    <w:rsid w:val="00CB3B13"/>
    <w:rsid w:val="00CB3B91"/>
    <w:rsid w:val="00CB3CDA"/>
    <w:rsid w:val="00CB58FC"/>
    <w:rsid w:val="00CB5D56"/>
    <w:rsid w:val="00CB6574"/>
    <w:rsid w:val="00CB715E"/>
    <w:rsid w:val="00CB7F9B"/>
    <w:rsid w:val="00CC0120"/>
    <w:rsid w:val="00CC0816"/>
    <w:rsid w:val="00CC0EF3"/>
    <w:rsid w:val="00CC160B"/>
    <w:rsid w:val="00CC23EA"/>
    <w:rsid w:val="00CC2972"/>
    <w:rsid w:val="00CC3AF8"/>
    <w:rsid w:val="00CC4162"/>
    <w:rsid w:val="00CC435E"/>
    <w:rsid w:val="00CC54A3"/>
    <w:rsid w:val="00CC5DB0"/>
    <w:rsid w:val="00CC607C"/>
    <w:rsid w:val="00CC6BC7"/>
    <w:rsid w:val="00CD0BA1"/>
    <w:rsid w:val="00CD232C"/>
    <w:rsid w:val="00CD3AB7"/>
    <w:rsid w:val="00CD3ABC"/>
    <w:rsid w:val="00CD3C92"/>
    <w:rsid w:val="00CD5DA4"/>
    <w:rsid w:val="00CD5F8F"/>
    <w:rsid w:val="00CD737D"/>
    <w:rsid w:val="00CD7F38"/>
    <w:rsid w:val="00CE0D52"/>
    <w:rsid w:val="00CE0DA9"/>
    <w:rsid w:val="00CE1281"/>
    <w:rsid w:val="00CE12F0"/>
    <w:rsid w:val="00CE1914"/>
    <w:rsid w:val="00CE1F99"/>
    <w:rsid w:val="00CE2F2B"/>
    <w:rsid w:val="00CE3C64"/>
    <w:rsid w:val="00CE41FE"/>
    <w:rsid w:val="00CE5D45"/>
    <w:rsid w:val="00CE63F0"/>
    <w:rsid w:val="00CE67D4"/>
    <w:rsid w:val="00CE6EAA"/>
    <w:rsid w:val="00CE6EBE"/>
    <w:rsid w:val="00CE70C9"/>
    <w:rsid w:val="00CF02C0"/>
    <w:rsid w:val="00CF048A"/>
    <w:rsid w:val="00CF0E92"/>
    <w:rsid w:val="00CF1684"/>
    <w:rsid w:val="00CF16FA"/>
    <w:rsid w:val="00CF4BA2"/>
    <w:rsid w:val="00CF4F5B"/>
    <w:rsid w:val="00CF5496"/>
    <w:rsid w:val="00CF5F5E"/>
    <w:rsid w:val="00D00430"/>
    <w:rsid w:val="00D0076F"/>
    <w:rsid w:val="00D00DFC"/>
    <w:rsid w:val="00D0105E"/>
    <w:rsid w:val="00D0166B"/>
    <w:rsid w:val="00D01713"/>
    <w:rsid w:val="00D01858"/>
    <w:rsid w:val="00D02245"/>
    <w:rsid w:val="00D025C5"/>
    <w:rsid w:val="00D02816"/>
    <w:rsid w:val="00D02D5B"/>
    <w:rsid w:val="00D03374"/>
    <w:rsid w:val="00D03AD6"/>
    <w:rsid w:val="00D052A2"/>
    <w:rsid w:val="00D074CE"/>
    <w:rsid w:val="00D075BC"/>
    <w:rsid w:val="00D076EF"/>
    <w:rsid w:val="00D10A2F"/>
    <w:rsid w:val="00D10D17"/>
    <w:rsid w:val="00D11490"/>
    <w:rsid w:val="00D12E9D"/>
    <w:rsid w:val="00D130CE"/>
    <w:rsid w:val="00D13669"/>
    <w:rsid w:val="00D1377F"/>
    <w:rsid w:val="00D13907"/>
    <w:rsid w:val="00D139ED"/>
    <w:rsid w:val="00D143C5"/>
    <w:rsid w:val="00D144FD"/>
    <w:rsid w:val="00D16497"/>
    <w:rsid w:val="00D165F8"/>
    <w:rsid w:val="00D167CF"/>
    <w:rsid w:val="00D1775A"/>
    <w:rsid w:val="00D207E2"/>
    <w:rsid w:val="00D20F34"/>
    <w:rsid w:val="00D21222"/>
    <w:rsid w:val="00D216D4"/>
    <w:rsid w:val="00D21959"/>
    <w:rsid w:val="00D23534"/>
    <w:rsid w:val="00D23592"/>
    <w:rsid w:val="00D238C3"/>
    <w:rsid w:val="00D23DF3"/>
    <w:rsid w:val="00D248CA"/>
    <w:rsid w:val="00D25108"/>
    <w:rsid w:val="00D251DC"/>
    <w:rsid w:val="00D25336"/>
    <w:rsid w:val="00D256CA"/>
    <w:rsid w:val="00D26E04"/>
    <w:rsid w:val="00D2705A"/>
    <w:rsid w:val="00D308AA"/>
    <w:rsid w:val="00D3141E"/>
    <w:rsid w:val="00D31D4F"/>
    <w:rsid w:val="00D31EAC"/>
    <w:rsid w:val="00D329ED"/>
    <w:rsid w:val="00D3389D"/>
    <w:rsid w:val="00D34345"/>
    <w:rsid w:val="00D344EF"/>
    <w:rsid w:val="00D345D6"/>
    <w:rsid w:val="00D34D15"/>
    <w:rsid w:val="00D351AC"/>
    <w:rsid w:val="00D35A96"/>
    <w:rsid w:val="00D36376"/>
    <w:rsid w:val="00D37998"/>
    <w:rsid w:val="00D40122"/>
    <w:rsid w:val="00D40685"/>
    <w:rsid w:val="00D4138F"/>
    <w:rsid w:val="00D41BB4"/>
    <w:rsid w:val="00D436BA"/>
    <w:rsid w:val="00D43D7D"/>
    <w:rsid w:val="00D444CA"/>
    <w:rsid w:val="00D46417"/>
    <w:rsid w:val="00D466C5"/>
    <w:rsid w:val="00D470F3"/>
    <w:rsid w:val="00D47426"/>
    <w:rsid w:val="00D4756F"/>
    <w:rsid w:val="00D477DC"/>
    <w:rsid w:val="00D500E8"/>
    <w:rsid w:val="00D506E4"/>
    <w:rsid w:val="00D516E7"/>
    <w:rsid w:val="00D51CFC"/>
    <w:rsid w:val="00D5213D"/>
    <w:rsid w:val="00D52E05"/>
    <w:rsid w:val="00D55ED1"/>
    <w:rsid w:val="00D561D2"/>
    <w:rsid w:val="00D56D8D"/>
    <w:rsid w:val="00D57241"/>
    <w:rsid w:val="00D57910"/>
    <w:rsid w:val="00D5791B"/>
    <w:rsid w:val="00D57E38"/>
    <w:rsid w:val="00D60FCC"/>
    <w:rsid w:val="00D615CF"/>
    <w:rsid w:val="00D625CC"/>
    <w:rsid w:val="00D63102"/>
    <w:rsid w:val="00D6397D"/>
    <w:rsid w:val="00D63C34"/>
    <w:rsid w:val="00D65913"/>
    <w:rsid w:val="00D700FD"/>
    <w:rsid w:val="00D70812"/>
    <w:rsid w:val="00D71F30"/>
    <w:rsid w:val="00D720C2"/>
    <w:rsid w:val="00D726AF"/>
    <w:rsid w:val="00D72CD5"/>
    <w:rsid w:val="00D732CE"/>
    <w:rsid w:val="00D73447"/>
    <w:rsid w:val="00D7456D"/>
    <w:rsid w:val="00D74DBD"/>
    <w:rsid w:val="00D75083"/>
    <w:rsid w:val="00D76C36"/>
    <w:rsid w:val="00D76DDE"/>
    <w:rsid w:val="00D77208"/>
    <w:rsid w:val="00D77D1B"/>
    <w:rsid w:val="00D77E4A"/>
    <w:rsid w:val="00D8144E"/>
    <w:rsid w:val="00D815D8"/>
    <w:rsid w:val="00D819D5"/>
    <w:rsid w:val="00D81AEE"/>
    <w:rsid w:val="00D82049"/>
    <w:rsid w:val="00D8280C"/>
    <w:rsid w:val="00D82EE8"/>
    <w:rsid w:val="00D83D84"/>
    <w:rsid w:val="00D86983"/>
    <w:rsid w:val="00D86984"/>
    <w:rsid w:val="00D9128A"/>
    <w:rsid w:val="00D92105"/>
    <w:rsid w:val="00D933E4"/>
    <w:rsid w:val="00D934AF"/>
    <w:rsid w:val="00D93673"/>
    <w:rsid w:val="00D93CC1"/>
    <w:rsid w:val="00D944E5"/>
    <w:rsid w:val="00D945C4"/>
    <w:rsid w:val="00D94BC8"/>
    <w:rsid w:val="00D954EF"/>
    <w:rsid w:val="00D955C4"/>
    <w:rsid w:val="00D95A02"/>
    <w:rsid w:val="00D968BB"/>
    <w:rsid w:val="00D96B0D"/>
    <w:rsid w:val="00D96FB3"/>
    <w:rsid w:val="00D97FE7"/>
    <w:rsid w:val="00DA0177"/>
    <w:rsid w:val="00DA115D"/>
    <w:rsid w:val="00DA1C5E"/>
    <w:rsid w:val="00DA1CBF"/>
    <w:rsid w:val="00DA2348"/>
    <w:rsid w:val="00DA25A0"/>
    <w:rsid w:val="00DA36A9"/>
    <w:rsid w:val="00DA47C6"/>
    <w:rsid w:val="00DA4C53"/>
    <w:rsid w:val="00DA5224"/>
    <w:rsid w:val="00DA5618"/>
    <w:rsid w:val="00DA5C6C"/>
    <w:rsid w:val="00DA6880"/>
    <w:rsid w:val="00DA6903"/>
    <w:rsid w:val="00DA7E81"/>
    <w:rsid w:val="00DB083C"/>
    <w:rsid w:val="00DB3B3B"/>
    <w:rsid w:val="00DB507F"/>
    <w:rsid w:val="00DB542F"/>
    <w:rsid w:val="00DB5686"/>
    <w:rsid w:val="00DB574F"/>
    <w:rsid w:val="00DB5953"/>
    <w:rsid w:val="00DB6036"/>
    <w:rsid w:val="00DB7222"/>
    <w:rsid w:val="00DB77E1"/>
    <w:rsid w:val="00DC0106"/>
    <w:rsid w:val="00DC08E3"/>
    <w:rsid w:val="00DC2000"/>
    <w:rsid w:val="00DC257B"/>
    <w:rsid w:val="00DC33BF"/>
    <w:rsid w:val="00DC367E"/>
    <w:rsid w:val="00DC4CC7"/>
    <w:rsid w:val="00DC4F8D"/>
    <w:rsid w:val="00DC5327"/>
    <w:rsid w:val="00DC5E13"/>
    <w:rsid w:val="00DC6223"/>
    <w:rsid w:val="00DC656E"/>
    <w:rsid w:val="00DC7830"/>
    <w:rsid w:val="00DD2347"/>
    <w:rsid w:val="00DD2932"/>
    <w:rsid w:val="00DD36CB"/>
    <w:rsid w:val="00DD3A51"/>
    <w:rsid w:val="00DD439E"/>
    <w:rsid w:val="00DE0639"/>
    <w:rsid w:val="00DE0DB6"/>
    <w:rsid w:val="00DE2661"/>
    <w:rsid w:val="00DE4C29"/>
    <w:rsid w:val="00DE66D5"/>
    <w:rsid w:val="00DE78CD"/>
    <w:rsid w:val="00DF0344"/>
    <w:rsid w:val="00DF16B3"/>
    <w:rsid w:val="00DF275F"/>
    <w:rsid w:val="00DF2D8C"/>
    <w:rsid w:val="00DF2EFE"/>
    <w:rsid w:val="00DF3D7C"/>
    <w:rsid w:val="00DF5035"/>
    <w:rsid w:val="00DF61F6"/>
    <w:rsid w:val="00DF6B31"/>
    <w:rsid w:val="00E00495"/>
    <w:rsid w:val="00E01603"/>
    <w:rsid w:val="00E01C63"/>
    <w:rsid w:val="00E02027"/>
    <w:rsid w:val="00E0251F"/>
    <w:rsid w:val="00E043D0"/>
    <w:rsid w:val="00E04A6D"/>
    <w:rsid w:val="00E0535B"/>
    <w:rsid w:val="00E05B13"/>
    <w:rsid w:val="00E060BB"/>
    <w:rsid w:val="00E06187"/>
    <w:rsid w:val="00E115D3"/>
    <w:rsid w:val="00E117F1"/>
    <w:rsid w:val="00E11AB5"/>
    <w:rsid w:val="00E11BBC"/>
    <w:rsid w:val="00E12C29"/>
    <w:rsid w:val="00E13887"/>
    <w:rsid w:val="00E13AD6"/>
    <w:rsid w:val="00E15BEC"/>
    <w:rsid w:val="00E15EA2"/>
    <w:rsid w:val="00E15F04"/>
    <w:rsid w:val="00E16C1C"/>
    <w:rsid w:val="00E2104B"/>
    <w:rsid w:val="00E219F0"/>
    <w:rsid w:val="00E222DC"/>
    <w:rsid w:val="00E23C54"/>
    <w:rsid w:val="00E24233"/>
    <w:rsid w:val="00E2609D"/>
    <w:rsid w:val="00E269E8"/>
    <w:rsid w:val="00E27839"/>
    <w:rsid w:val="00E27CA2"/>
    <w:rsid w:val="00E27F7D"/>
    <w:rsid w:val="00E3031A"/>
    <w:rsid w:val="00E31071"/>
    <w:rsid w:val="00E312DC"/>
    <w:rsid w:val="00E31453"/>
    <w:rsid w:val="00E31D92"/>
    <w:rsid w:val="00E31E7E"/>
    <w:rsid w:val="00E320BA"/>
    <w:rsid w:val="00E323EF"/>
    <w:rsid w:val="00E327F5"/>
    <w:rsid w:val="00E32F86"/>
    <w:rsid w:val="00E333ED"/>
    <w:rsid w:val="00E33B18"/>
    <w:rsid w:val="00E34088"/>
    <w:rsid w:val="00E342C9"/>
    <w:rsid w:val="00E34583"/>
    <w:rsid w:val="00E34A46"/>
    <w:rsid w:val="00E34E42"/>
    <w:rsid w:val="00E354BA"/>
    <w:rsid w:val="00E3613D"/>
    <w:rsid w:val="00E361B5"/>
    <w:rsid w:val="00E366AE"/>
    <w:rsid w:val="00E40003"/>
    <w:rsid w:val="00E41FA0"/>
    <w:rsid w:val="00E4245A"/>
    <w:rsid w:val="00E426D2"/>
    <w:rsid w:val="00E427C2"/>
    <w:rsid w:val="00E42A77"/>
    <w:rsid w:val="00E42B32"/>
    <w:rsid w:val="00E42F89"/>
    <w:rsid w:val="00E433C4"/>
    <w:rsid w:val="00E435BD"/>
    <w:rsid w:val="00E437C3"/>
    <w:rsid w:val="00E44510"/>
    <w:rsid w:val="00E45E61"/>
    <w:rsid w:val="00E4726B"/>
    <w:rsid w:val="00E47980"/>
    <w:rsid w:val="00E51747"/>
    <w:rsid w:val="00E52300"/>
    <w:rsid w:val="00E525D4"/>
    <w:rsid w:val="00E525E4"/>
    <w:rsid w:val="00E52A43"/>
    <w:rsid w:val="00E53E7A"/>
    <w:rsid w:val="00E5460D"/>
    <w:rsid w:val="00E54F63"/>
    <w:rsid w:val="00E55557"/>
    <w:rsid w:val="00E56BBE"/>
    <w:rsid w:val="00E57704"/>
    <w:rsid w:val="00E579DE"/>
    <w:rsid w:val="00E579F3"/>
    <w:rsid w:val="00E57AC9"/>
    <w:rsid w:val="00E57D47"/>
    <w:rsid w:val="00E60044"/>
    <w:rsid w:val="00E60413"/>
    <w:rsid w:val="00E60A5F"/>
    <w:rsid w:val="00E61119"/>
    <w:rsid w:val="00E61717"/>
    <w:rsid w:val="00E61ADE"/>
    <w:rsid w:val="00E620C8"/>
    <w:rsid w:val="00E62285"/>
    <w:rsid w:val="00E6299D"/>
    <w:rsid w:val="00E63A0C"/>
    <w:rsid w:val="00E64523"/>
    <w:rsid w:val="00E645FE"/>
    <w:rsid w:val="00E6494A"/>
    <w:rsid w:val="00E64976"/>
    <w:rsid w:val="00E65245"/>
    <w:rsid w:val="00E657CA"/>
    <w:rsid w:val="00E65F4D"/>
    <w:rsid w:val="00E66959"/>
    <w:rsid w:val="00E66B30"/>
    <w:rsid w:val="00E6728F"/>
    <w:rsid w:val="00E701F6"/>
    <w:rsid w:val="00E70831"/>
    <w:rsid w:val="00E70F18"/>
    <w:rsid w:val="00E71DD7"/>
    <w:rsid w:val="00E72BDE"/>
    <w:rsid w:val="00E73EFC"/>
    <w:rsid w:val="00E767F2"/>
    <w:rsid w:val="00E76CFA"/>
    <w:rsid w:val="00E77EB8"/>
    <w:rsid w:val="00E80105"/>
    <w:rsid w:val="00E8142D"/>
    <w:rsid w:val="00E8222F"/>
    <w:rsid w:val="00E83487"/>
    <w:rsid w:val="00E83E90"/>
    <w:rsid w:val="00E83FA2"/>
    <w:rsid w:val="00E859EF"/>
    <w:rsid w:val="00E85A92"/>
    <w:rsid w:val="00E86FB9"/>
    <w:rsid w:val="00E86FF8"/>
    <w:rsid w:val="00E87463"/>
    <w:rsid w:val="00E87C5E"/>
    <w:rsid w:val="00E90886"/>
    <w:rsid w:val="00E90B20"/>
    <w:rsid w:val="00E914C8"/>
    <w:rsid w:val="00E9171A"/>
    <w:rsid w:val="00E92CFB"/>
    <w:rsid w:val="00E9387D"/>
    <w:rsid w:val="00E93D6B"/>
    <w:rsid w:val="00E93F51"/>
    <w:rsid w:val="00E944AA"/>
    <w:rsid w:val="00E9461C"/>
    <w:rsid w:val="00E9498E"/>
    <w:rsid w:val="00E9562A"/>
    <w:rsid w:val="00E96822"/>
    <w:rsid w:val="00E96DD3"/>
    <w:rsid w:val="00E971FE"/>
    <w:rsid w:val="00EA16E5"/>
    <w:rsid w:val="00EA1FE9"/>
    <w:rsid w:val="00EA2047"/>
    <w:rsid w:val="00EA3ADD"/>
    <w:rsid w:val="00EA5D5C"/>
    <w:rsid w:val="00EA5EDD"/>
    <w:rsid w:val="00EA6375"/>
    <w:rsid w:val="00EA74D9"/>
    <w:rsid w:val="00EB1E84"/>
    <w:rsid w:val="00EB1FCF"/>
    <w:rsid w:val="00EB2845"/>
    <w:rsid w:val="00EB45F1"/>
    <w:rsid w:val="00EB4DD7"/>
    <w:rsid w:val="00EB5B60"/>
    <w:rsid w:val="00EB6301"/>
    <w:rsid w:val="00EB6571"/>
    <w:rsid w:val="00EC08B9"/>
    <w:rsid w:val="00EC1C35"/>
    <w:rsid w:val="00EC1C7E"/>
    <w:rsid w:val="00EC2A24"/>
    <w:rsid w:val="00EC2C0E"/>
    <w:rsid w:val="00EC32E6"/>
    <w:rsid w:val="00EC433C"/>
    <w:rsid w:val="00EC443D"/>
    <w:rsid w:val="00EC520D"/>
    <w:rsid w:val="00EC5231"/>
    <w:rsid w:val="00EC5541"/>
    <w:rsid w:val="00EC5FD8"/>
    <w:rsid w:val="00EC6241"/>
    <w:rsid w:val="00EC721B"/>
    <w:rsid w:val="00EC7EE0"/>
    <w:rsid w:val="00ED022A"/>
    <w:rsid w:val="00ED1BA9"/>
    <w:rsid w:val="00ED1D25"/>
    <w:rsid w:val="00ED201F"/>
    <w:rsid w:val="00ED24CE"/>
    <w:rsid w:val="00ED54A7"/>
    <w:rsid w:val="00ED5C57"/>
    <w:rsid w:val="00ED5FB8"/>
    <w:rsid w:val="00ED6AAE"/>
    <w:rsid w:val="00EE024E"/>
    <w:rsid w:val="00EE0A36"/>
    <w:rsid w:val="00EE0D90"/>
    <w:rsid w:val="00EE0FB6"/>
    <w:rsid w:val="00EE19B8"/>
    <w:rsid w:val="00EE1A6B"/>
    <w:rsid w:val="00EE1AB3"/>
    <w:rsid w:val="00EE1F07"/>
    <w:rsid w:val="00EE1FA6"/>
    <w:rsid w:val="00EE4319"/>
    <w:rsid w:val="00EE4D53"/>
    <w:rsid w:val="00EE5C0E"/>
    <w:rsid w:val="00EE62B1"/>
    <w:rsid w:val="00EE71DB"/>
    <w:rsid w:val="00EE7486"/>
    <w:rsid w:val="00EE7E8A"/>
    <w:rsid w:val="00EF119B"/>
    <w:rsid w:val="00EF1D58"/>
    <w:rsid w:val="00EF1DCC"/>
    <w:rsid w:val="00EF3764"/>
    <w:rsid w:val="00EF4025"/>
    <w:rsid w:val="00EF52B2"/>
    <w:rsid w:val="00EF655B"/>
    <w:rsid w:val="00EF72A3"/>
    <w:rsid w:val="00F00A8F"/>
    <w:rsid w:val="00F01C18"/>
    <w:rsid w:val="00F024FC"/>
    <w:rsid w:val="00F02B68"/>
    <w:rsid w:val="00F03AF0"/>
    <w:rsid w:val="00F03D6D"/>
    <w:rsid w:val="00F04443"/>
    <w:rsid w:val="00F047FE"/>
    <w:rsid w:val="00F05EF3"/>
    <w:rsid w:val="00F0681C"/>
    <w:rsid w:val="00F10621"/>
    <w:rsid w:val="00F113DA"/>
    <w:rsid w:val="00F116FB"/>
    <w:rsid w:val="00F1278B"/>
    <w:rsid w:val="00F12A53"/>
    <w:rsid w:val="00F13027"/>
    <w:rsid w:val="00F131AD"/>
    <w:rsid w:val="00F13393"/>
    <w:rsid w:val="00F133DD"/>
    <w:rsid w:val="00F13E02"/>
    <w:rsid w:val="00F1408F"/>
    <w:rsid w:val="00F14290"/>
    <w:rsid w:val="00F14714"/>
    <w:rsid w:val="00F15AC6"/>
    <w:rsid w:val="00F15E75"/>
    <w:rsid w:val="00F1617D"/>
    <w:rsid w:val="00F16226"/>
    <w:rsid w:val="00F16B89"/>
    <w:rsid w:val="00F173EC"/>
    <w:rsid w:val="00F17ADC"/>
    <w:rsid w:val="00F17C3D"/>
    <w:rsid w:val="00F20389"/>
    <w:rsid w:val="00F20C36"/>
    <w:rsid w:val="00F20E96"/>
    <w:rsid w:val="00F2118D"/>
    <w:rsid w:val="00F21BA9"/>
    <w:rsid w:val="00F22794"/>
    <w:rsid w:val="00F23F4B"/>
    <w:rsid w:val="00F24107"/>
    <w:rsid w:val="00F2496B"/>
    <w:rsid w:val="00F25816"/>
    <w:rsid w:val="00F25DC5"/>
    <w:rsid w:val="00F2621C"/>
    <w:rsid w:val="00F264E2"/>
    <w:rsid w:val="00F26944"/>
    <w:rsid w:val="00F26E07"/>
    <w:rsid w:val="00F277A9"/>
    <w:rsid w:val="00F3180F"/>
    <w:rsid w:val="00F321D7"/>
    <w:rsid w:val="00F32C75"/>
    <w:rsid w:val="00F32C76"/>
    <w:rsid w:val="00F339F4"/>
    <w:rsid w:val="00F33A53"/>
    <w:rsid w:val="00F34998"/>
    <w:rsid w:val="00F34E9F"/>
    <w:rsid w:val="00F35AE8"/>
    <w:rsid w:val="00F35C1B"/>
    <w:rsid w:val="00F35CDA"/>
    <w:rsid w:val="00F36916"/>
    <w:rsid w:val="00F36992"/>
    <w:rsid w:val="00F36D8F"/>
    <w:rsid w:val="00F36F8F"/>
    <w:rsid w:val="00F37392"/>
    <w:rsid w:val="00F37828"/>
    <w:rsid w:val="00F3789F"/>
    <w:rsid w:val="00F37A60"/>
    <w:rsid w:val="00F401A9"/>
    <w:rsid w:val="00F401B6"/>
    <w:rsid w:val="00F40624"/>
    <w:rsid w:val="00F40DC2"/>
    <w:rsid w:val="00F41779"/>
    <w:rsid w:val="00F41D75"/>
    <w:rsid w:val="00F420AC"/>
    <w:rsid w:val="00F42C3E"/>
    <w:rsid w:val="00F43034"/>
    <w:rsid w:val="00F441DA"/>
    <w:rsid w:val="00F459E9"/>
    <w:rsid w:val="00F464BB"/>
    <w:rsid w:val="00F467F6"/>
    <w:rsid w:val="00F516D3"/>
    <w:rsid w:val="00F5184E"/>
    <w:rsid w:val="00F52419"/>
    <w:rsid w:val="00F528DF"/>
    <w:rsid w:val="00F5360A"/>
    <w:rsid w:val="00F54805"/>
    <w:rsid w:val="00F54FDA"/>
    <w:rsid w:val="00F55531"/>
    <w:rsid w:val="00F56047"/>
    <w:rsid w:val="00F56EB9"/>
    <w:rsid w:val="00F6040B"/>
    <w:rsid w:val="00F6177E"/>
    <w:rsid w:val="00F62D33"/>
    <w:rsid w:val="00F64C62"/>
    <w:rsid w:val="00F6582B"/>
    <w:rsid w:val="00F66721"/>
    <w:rsid w:val="00F66EC5"/>
    <w:rsid w:val="00F672D3"/>
    <w:rsid w:val="00F67682"/>
    <w:rsid w:val="00F67CF5"/>
    <w:rsid w:val="00F708AC"/>
    <w:rsid w:val="00F70D45"/>
    <w:rsid w:val="00F711E0"/>
    <w:rsid w:val="00F713A3"/>
    <w:rsid w:val="00F715AA"/>
    <w:rsid w:val="00F7206B"/>
    <w:rsid w:val="00F738F0"/>
    <w:rsid w:val="00F7412D"/>
    <w:rsid w:val="00F7554F"/>
    <w:rsid w:val="00F75B3A"/>
    <w:rsid w:val="00F763D4"/>
    <w:rsid w:val="00F77734"/>
    <w:rsid w:val="00F80553"/>
    <w:rsid w:val="00F81D3E"/>
    <w:rsid w:val="00F823C6"/>
    <w:rsid w:val="00F82BD0"/>
    <w:rsid w:val="00F8321F"/>
    <w:rsid w:val="00F83319"/>
    <w:rsid w:val="00F83393"/>
    <w:rsid w:val="00F8521E"/>
    <w:rsid w:val="00F852E6"/>
    <w:rsid w:val="00F85754"/>
    <w:rsid w:val="00F85E88"/>
    <w:rsid w:val="00F86180"/>
    <w:rsid w:val="00F86250"/>
    <w:rsid w:val="00F87970"/>
    <w:rsid w:val="00F90061"/>
    <w:rsid w:val="00F90BF9"/>
    <w:rsid w:val="00F90CBD"/>
    <w:rsid w:val="00F91506"/>
    <w:rsid w:val="00F91724"/>
    <w:rsid w:val="00F919BB"/>
    <w:rsid w:val="00F955EC"/>
    <w:rsid w:val="00F96194"/>
    <w:rsid w:val="00F966E1"/>
    <w:rsid w:val="00F96747"/>
    <w:rsid w:val="00FA15D2"/>
    <w:rsid w:val="00FA1E4E"/>
    <w:rsid w:val="00FA2C1F"/>
    <w:rsid w:val="00FA30CB"/>
    <w:rsid w:val="00FA325D"/>
    <w:rsid w:val="00FA33D2"/>
    <w:rsid w:val="00FA344C"/>
    <w:rsid w:val="00FA4F9C"/>
    <w:rsid w:val="00FA529F"/>
    <w:rsid w:val="00FA578A"/>
    <w:rsid w:val="00FA597D"/>
    <w:rsid w:val="00FA6A37"/>
    <w:rsid w:val="00FA7DE2"/>
    <w:rsid w:val="00FA7DFE"/>
    <w:rsid w:val="00FB02BE"/>
    <w:rsid w:val="00FB054E"/>
    <w:rsid w:val="00FB08D0"/>
    <w:rsid w:val="00FB09B6"/>
    <w:rsid w:val="00FB260A"/>
    <w:rsid w:val="00FB3646"/>
    <w:rsid w:val="00FB4CB9"/>
    <w:rsid w:val="00FB4E57"/>
    <w:rsid w:val="00FB653E"/>
    <w:rsid w:val="00FC001F"/>
    <w:rsid w:val="00FC0E45"/>
    <w:rsid w:val="00FC1BA4"/>
    <w:rsid w:val="00FC1DF0"/>
    <w:rsid w:val="00FC2083"/>
    <w:rsid w:val="00FC3786"/>
    <w:rsid w:val="00FC5370"/>
    <w:rsid w:val="00FC57C8"/>
    <w:rsid w:val="00FC61F7"/>
    <w:rsid w:val="00FC7415"/>
    <w:rsid w:val="00FC75AD"/>
    <w:rsid w:val="00FD0251"/>
    <w:rsid w:val="00FD0980"/>
    <w:rsid w:val="00FD0A9B"/>
    <w:rsid w:val="00FD1242"/>
    <w:rsid w:val="00FD28C8"/>
    <w:rsid w:val="00FD332E"/>
    <w:rsid w:val="00FD3A93"/>
    <w:rsid w:val="00FD42BD"/>
    <w:rsid w:val="00FD48D4"/>
    <w:rsid w:val="00FD4BDF"/>
    <w:rsid w:val="00FD5701"/>
    <w:rsid w:val="00FD5AE0"/>
    <w:rsid w:val="00FD5D51"/>
    <w:rsid w:val="00FD6652"/>
    <w:rsid w:val="00FD676D"/>
    <w:rsid w:val="00FD7BA0"/>
    <w:rsid w:val="00FE01E3"/>
    <w:rsid w:val="00FE038B"/>
    <w:rsid w:val="00FE1966"/>
    <w:rsid w:val="00FE1E91"/>
    <w:rsid w:val="00FE3110"/>
    <w:rsid w:val="00FE3136"/>
    <w:rsid w:val="00FE4C9C"/>
    <w:rsid w:val="00FE52F3"/>
    <w:rsid w:val="00FE5B69"/>
    <w:rsid w:val="00FE696F"/>
    <w:rsid w:val="00FE72E7"/>
    <w:rsid w:val="00FF0267"/>
    <w:rsid w:val="00FF2286"/>
    <w:rsid w:val="00FF277B"/>
    <w:rsid w:val="00FF278B"/>
    <w:rsid w:val="00FF4D26"/>
    <w:rsid w:val="00FF562C"/>
    <w:rsid w:val="00FF5A0E"/>
    <w:rsid w:val="00FF6666"/>
    <w:rsid w:val="00FF748C"/>
    <w:rsid w:val="00FF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DABA4"/>
  <w15:docId w15:val="{EBC05F69-235D-416A-AB09-A85276ED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Title" w:qFormat="1"/>
    <w:lsdException w:name="Body Text" w:qFormat="1"/>
    <w:lsdException w:name="Subtitle" w:qFormat="1"/>
    <w:lsdException w:name="Hyperlink" w:uiPriority="99" w:qFormat="1"/>
    <w:lsdException w:name="Strong" w:uiPriority="22" w:qFormat="1"/>
    <w:lsdException w:name="Emphasis" w:uiPriority="20" w:qFormat="1"/>
    <w:lsdException w:name="Document Map" w:uiPriority="99"/>
    <w:lsdException w:name="Normal (Web)" w:uiPriority="99" w:qFormat="1"/>
    <w:lsdException w:name="HTML Preformatted"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7CA2"/>
    <w:rPr>
      <w:rFonts w:ascii="Arial" w:hAnsi="Arial" w:cs="Arial"/>
      <w:color w:val="000000"/>
      <w:sz w:val="26"/>
      <w:szCs w:val="24"/>
    </w:rPr>
  </w:style>
  <w:style w:type="paragraph" w:styleId="Heading1">
    <w:name w:val="heading 1"/>
    <w:basedOn w:val="Normal"/>
    <w:next w:val="Normal"/>
    <w:link w:val="Heading1Char"/>
    <w:qFormat/>
    <w:rsid w:val="0099378F"/>
    <w:pPr>
      <w:keepNext/>
      <w:spacing w:before="120" w:after="120"/>
      <w:ind w:left="431" w:hanging="431"/>
      <w:outlineLvl w:val="0"/>
    </w:pPr>
    <w:rPr>
      <w:rFonts w:ascii="Times New Roman" w:hAnsi="Times New Roman" w:cs="Times New Roman"/>
      <w:b/>
      <w:bCs/>
      <w:color w:val="auto"/>
      <w:kern w:val="32"/>
      <w:sz w:val="28"/>
      <w:szCs w:val="32"/>
    </w:rPr>
  </w:style>
  <w:style w:type="paragraph" w:styleId="Heading2">
    <w:name w:val="heading 2"/>
    <w:basedOn w:val="Normal"/>
    <w:next w:val="Normal"/>
    <w:link w:val="Heading2Char"/>
    <w:uiPriority w:val="9"/>
    <w:unhideWhenUsed/>
    <w:qFormat/>
    <w:rsid w:val="00F64C62"/>
    <w:pPr>
      <w:keepNext/>
      <w:spacing w:before="120" w:after="120" w:line="300" w:lineRule="auto"/>
      <w:ind w:left="578" w:hanging="578"/>
      <w:jc w:val="both"/>
      <w:outlineLvl w:val="1"/>
    </w:pPr>
    <w:rPr>
      <w:rFonts w:ascii="Times New Roman" w:hAnsi="Times New Roman" w:cs="Times New Roman"/>
      <w:b/>
      <w:bCs/>
      <w:iCs/>
      <w:color w:val="auto"/>
      <w:szCs w:val="28"/>
    </w:rPr>
  </w:style>
  <w:style w:type="paragraph" w:styleId="Heading3">
    <w:name w:val="heading 3"/>
    <w:basedOn w:val="Normal"/>
    <w:next w:val="Normal"/>
    <w:link w:val="Heading3Char"/>
    <w:qFormat/>
    <w:rsid w:val="0099378F"/>
    <w:pPr>
      <w:keepNext/>
      <w:spacing w:before="120" w:after="120" w:line="300" w:lineRule="auto"/>
      <w:ind w:left="284"/>
      <w:jc w:val="both"/>
      <w:outlineLvl w:val="2"/>
    </w:pPr>
    <w:rPr>
      <w:rFonts w:ascii="Times New Roman" w:hAnsi="Times New Roman"/>
      <w:b/>
      <w:bCs/>
    </w:rPr>
  </w:style>
  <w:style w:type="paragraph" w:styleId="Heading4">
    <w:name w:val="heading 4"/>
    <w:basedOn w:val="Normal"/>
    <w:next w:val="Normal"/>
    <w:link w:val="Heading4Char"/>
    <w:uiPriority w:val="9"/>
    <w:unhideWhenUsed/>
    <w:qFormat/>
    <w:rsid w:val="00F64C62"/>
    <w:pPr>
      <w:keepNext/>
      <w:spacing w:before="120" w:after="120" w:line="300" w:lineRule="auto"/>
      <w:ind w:left="1429" w:hanging="862"/>
      <w:jc w:val="both"/>
      <w:outlineLvl w:val="3"/>
    </w:pPr>
    <w:rPr>
      <w:rFonts w:ascii="Times New Roman" w:hAnsi="Times New Roman" w:cs="Times New Roman"/>
      <w:b/>
      <w:bCs/>
      <w:i/>
      <w:color w:val="auto"/>
      <w:szCs w:val="28"/>
    </w:rPr>
  </w:style>
  <w:style w:type="paragraph" w:styleId="Heading5">
    <w:name w:val="heading 5"/>
    <w:basedOn w:val="Normal"/>
    <w:next w:val="Normal"/>
    <w:link w:val="Heading5Char"/>
    <w:qFormat/>
    <w:rsid w:val="00E27CA2"/>
    <w:pPr>
      <w:keepNext/>
      <w:outlineLvl w:val="4"/>
    </w:pPr>
    <w:rPr>
      <w:rFonts w:ascii="VNI-Times" w:hAnsi="VNI-Times" w:cs="Times New Roman"/>
      <w:b/>
      <w:bCs/>
      <w:color w:val="auto"/>
      <w:sz w:val="24"/>
      <w:szCs w:val="20"/>
    </w:rPr>
  </w:style>
  <w:style w:type="paragraph" w:styleId="Heading6">
    <w:name w:val="heading 6"/>
    <w:basedOn w:val="Normal"/>
    <w:next w:val="Normal"/>
    <w:link w:val="Heading6Char"/>
    <w:uiPriority w:val="9"/>
    <w:unhideWhenUsed/>
    <w:qFormat/>
    <w:rsid w:val="000E593E"/>
    <w:pPr>
      <w:spacing w:before="240" w:after="60"/>
      <w:ind w:left="1152" w:hanging="1152"/>
      <w:outlineLvl w:val="5"/>
    </w:pPr>
    <w:rPr>
      <w:rFonts w:ascii="Calibri" w:hAnsi="Calibri" w:cs="Times New Roman"/>
      <w:b/>
      <w:bCs/>
      <w:color w:val="auto"/>
      <w:sz w:val="22"/>
      <w:szCs w:val="22"/>
    </w:rPr>
  </w:style>
  <w:style w:type="paragraph" w:styleId="Heading7">
    <w:name w:val="heading 7"/>
    <w:basedOn w:val="Normal"/>
    <w:next w:val="Normal"/>
    <w:link w:val="Heading7Char"/>
    <w:uiPriority w:val="9"/>
    <w:unhideWhenUsed/>
    <w:qFormat/>
    <w:rsid w:val="000E593E"/>
    <w:pPr>
      <w:spacing w:before="240" w:after="60"/>
      <w:ind w:left="1296" w:hanging="1296"/>
      <w:outlineLvl w:val="6"/>
    </w:pPr>
    <w:rPr>
      <w:rFonts w:ascii="Calibri" w:hAnsi="Calibri" w:cs="Times New Roman"/>
      <w:color w:val="auto"/>
      <w:sz w:val="24"/>
    </w:rPr>
  </w:style>
  <w:style w:type="paragraph" w:styleId="Heading8">
    <w:name w:val="heading 8"/>
    <w:basedOn w:val="Normal"/>
    <w:next w:val="Normal"/>
    <w:link w:val="Heading8Char"/>
    <w:uiPriority w:val="9"/>
    <w:unhideWhenUsed/>
    <w:qFormat/>
    <w:rsid w:val="000E593E"/>
    <w:pPr>
      <w:spacing w:before="240" w:after="60"/>
      <w:ind w:left="1440" w:hanging="1440"/>
      <w:outlineLvl w:val="7"/>
    </w:pPr>
    <w:rPr>
      <w:rFonts w:ascii="Calibri" w:hAnsi="Calibri" w:cs="Times New Roman"/>
      <w:i/>
      <w:iCs/>
      <w:color w:val="auto"/>
      <w:sz w:val="24"/>
    </w:rPr>
  </w:style>
  <w:style w:type="paragraph" w:styleId="Heading9">
    <w:name w:val="heading 9"/>
    <w:basedOn w:val="Normal"/>
    <w:next w:val="Normal"/>
    <w:link w:val="Heading9Char"/>
    <w:uiPriority w:val="9"/>
    <w:semiHidden/>
    <w:unhideWhenUsed/>
    <w:qFormat/>
    <w:rsid w:val="000E593E"/>
    <w:pPr>
      <w:spacing w:before="240" w:after="60"/>
      <w:ind w:left="1584" w:hanging="1584"/>
      <w:outlineLvl w:val="8"/>
    </w:pPr>
    <w:rPr>
      <w:rFonts w:ascii="Cambria" w:hAnsi="Cambria" w:cs="Times New Roman"/>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27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8148AB"/>
    <w:pPr>
      <w:tabs>
        <w:tab w:val="center" w:pos="4320"/>
        <w:tab w:val="right" w:pos="8640"/>
      </w:tabs>
    </w:pPr>
  </w:style>
  <w:style w:type="paragraph" w:styleId="Footer">
    <w:name w:val="footer"/>
    <w:basedOn w:val="Normal"/>
    <w:link w:val="FooterChar"/>
    <w:uiPriority w:val="99"/>
    <w:rsid w:val="008148AB"/>
    <w:pPr>
      <w:tabs>
        <w:tab w:val="center" w:pos="4320"/>
        <w:tab w:val="right" w:pos="8640"/>
      </w:tabs>
    </w:pPr>
  </w:style>
  <w:style w:type="character" w:customStyle="1" w:styleId="Heading1Char">
    <w:name w:val="Heading 1 Char"/>
    <w:link w:val="Heading1"/>
    <w:uiPriority w:val="9"/>
    <w:qFormat/>
    <w:rsid w:val="0099378F"/>
    <w:rPr>
      <w:b/>
      <w:bCs/>
      <w:kern w:val="32"/>
      <w:sz w:val="28"/>
      <w:szCs w:val="32"/>
    </w:rPr>
  </w:style>
  <w:style w:type="character" w:customStyle="1" w:styleId="Heading2Char">
    <w:name w:val="Heading 2 Char"/>
    <w:link w:val="Heading2"/>
    <w:uiPriority w:val="9"/>
    <w:rsid w:val="00F64C62"/>
    <w:rPr>
      <w:b/>
      <w:bCs/>
      <w:iCs/>
      <w:sz w:val="26"/>
      <w:szCs w:val="28"/>
    </w:rPr>
  </w:style>
  <w:style w:type="character" w:customStyle="1" w:styleId="Heading4Char">
    <w:name w:val="Heading 4 Char"/>
    <w:link w:val="Heading4"/>
    <w:uiPriority w:val="9"/>
    <w:rsid w:val="00F64C62"/>
    <w:rPr>
      <w:b/>
      <w:bCs/>
      <w:i/>
      <w:sz w:val="26"/>
      <w:szCs w:val="28"/>
    </w:rPr>
  </w:style>
  <w:style w:type="character" w:customStyle="1" w:styleId="Heading6Char">
    <w:name w:val="Heading 6 Char"/>
    <w:link w:val="Heading6"/>
    <w:uiPriority w:val="9"/>
    <w:rsid w:val="000E593E"/>
    <w:rPr>
      <w:rFonts w:ascii="Calibri" w:hAnsi="Calibri"/>
      <w:b/>
      <w:bCs/>
      <w:sz w:val="22"/>
      <w:szCs w:val="22"/>
    </w:rPr>
  </w:style>
  <w:style w:type="character" w:customStyle="1" w:styleId="Heading7Char">
    <w:name w:val="Heading 7 Char"/>
    <w:link w:val="Heading7"/>
    <w:uiPriority w:val="9"/>
    <w:rsid w:val="000E593E"/>
    <w:rPr>
      <w:rFonts w:ascii="Calibri" w:hAnsi="Calibri"/>
      <w:sz w:val="24"/>
      <w:szCs w:val="24"/>
    </w:rPr>
  </w:style>
  <w:style w:type="character" w:customStyle="1" w:styleId="Heading8Char">
    <w:name w:val="Heading 8 Char"/>
    <w:link w:val="Heading8"/>
    <w:uiPriority w:val="9"/>
    <w:rsid w:val="000E593E"/>
    <w:rPr>
      <w:rFonts w:ascii="Calibri" w:hAnsi="Calibri"/>
      <w:i/>
      <w:iCs/>
      <w:sz w:val="24"/>
      <w:szCs w:val="24"/>
    </w:rPr>
  </w:style>
  <w:style w:type="character" w:customStyle="1" w:styleId="Heading9Char">
    <w:name w:val="Heading 9 Char"/>
    <w:link w:val="Heading9"/>
    <w:uiPriority w:val="9"/>
    <w:semiHidden/>
    <w:rsid w:val="000E593E"/>
    <w:rPr>
      <w:rFonts w:ascii="Cambria" w:hAnsi="Cambria"/>
      <w:sz w:val="22"/>
      <w:szCs w:val="22"/>
    </w:rPr>
  </w:style>
  <w:style w:type="character" w:customStyle="1" w:styleId="HeaderChar">
    <w:name w:val="Header Char"/>
    <w:link w:val="Header"/>
    <w:uiPriority w:val="99"/>
    <w:rsid w:val="000E593E"/>
    <w:rPr>
      <w:rFonts w:ascii="Arial" w:hAnsi="Arial" w:cs="Arial"/>
      <w:color w:val="000000"/>
      <w:sz w:val="26"/>
      <w:szCs w:val="24"/>
    </w:rPr>
  </w:style>
  <w:style w:type="character" w:customStyle="1" w:styleId="FooterChar">
    <w:name w:val="Footer Char"/>
    <w:link w:val="Footer"/>
    <w:uiPriority w:val="99"/>
    <w:rsid w:val="000E593E"/>
    <w:rPr>
      <w:rFonts w:ascii="Arial" w:hAnsi="Arial" w:cs="Arial"/>
      <w:color w:val="000000"/>
      <w:sz w:val="26"/>
      <w:szCs w:val="24"/>
    </w:rPr>
  </w:style>
  <w:style w:type="paragraph" w:styleId="BodyText">
    <w:name w:val="Body Text"/>
    <w:basedOn w:val="Normal"/>
    <w:link w:val="BodyTextChar"/>
    <w:qFormat/>
    <w:rsid w:val="000E593E"/>
    <w:pPr>
      <w:jc w:val="center"/>
    </w:pPr>
    <w:rPr>
      <w:rFonts w:ascii="Times New Roman" w:hAnsi="Times New Roman" w:cs="Times New Roman"/>
      <w:b/>
      <w:bCs/>
      <w:color w:val="auto"/>
      <w:sz w:val="28"/>
    </w:rPr>
  </w:style>
  <w:style w:type="character" w:customStyle="1" w:styleId="BodyTextChar">
    <w:name w:val="Body Text Char"/>
    <w:link w:val="BodyText"/>
    <w:rsid w:val="000E593E"/>
    <w:rPr>
      <w:b/>
      <w:bCs/>
      <w:sz w:val="28"/>
      <w:szCs w:val="24"/>
    </w:rPr>
  </w:style>
  <w:style w:type="character" w:styleId="Hyperlink">
    <w:name w:val="Hyperlink"/>
    <w:uiPriority w:val="99"/>
    <w:qFormat/>
    <w:rsid w:val="000E593E"/>
    <w:rPr>
      <w:color w:val="0000FF"/>
      <w:u w:val="single"/>
    </w:rPr>
  </w:style>
  <w:style w:type="paragraph" w:styleId="NormalWeb">
    <w:name w:val="Normal (Web)"/>
    <w:basedOn w:val="Normal"/>
    <w:link w:val="NormalWebChar"/>
    <w:uiPriority w:val="99"/>
    <w:unhideWhenUsed/>
    <w:qFormat/>
    <w:rsid w:val="000E593E"/>
    <w:pPr>
      <w:spacing w:before="100" w:beforeAutospacing="1" w:after="100" w:afterAutospacing="1"/>
    </w:pPr>
    <w:rPr>
      <w:rFonts w:ascii="Times New Roman" w:hAnsi="Times New Roman" w:cs="Times New Roman"/>
      <w:color w:val="auto"/>
      <w:sz w:val="24"/>
    </w:rPr>
  </w:style>
  <w:style w:type="character" w:styleId="Emphasis">
    <w:name w:val="Emphasis"/>
    <w:uiPriority w:val="20"/>
    <w:qFormat/>
    <w:rsid w:val="000E593E"/>
    <w:rPr>
      <w:i/>
      <w:iCs/>
    </w:rPr>
  </w:style>
  <w:style w:type="character" w:customStyle="1" w:styleId="fontstyle01">
    <w:name w:val="fontstyle01"/>
    <w:rsid w:val="000E593E"/>
    <w:rPr>
      <w:rFonts w:ascii="Times New Roman" w:hAnsi="Times New Roman" w:cs="Times New Roman" w:hint="default"/>
      <w:b w:val="0"/>
      <w:bCs w:val="0"/>
      <w:i w:val="0"/>
      <w:iCs w:val="0"/>
      <w:color w:val="000000"/>
      <w:sz w:val="26"/>
      <w:szCs w:val="26"/>
    </w:rPr>
  </w:style>
  <w:style w:type="paragraph" w:styleId="FootnoteText">
    <w:name w:val="footnote text"/>
    <w:basedOn w:val="Normal"/>
    <w:link w:val="FootnoteTextChar"/>
    <w:uiPriority w:val="99"/>
    <w:unhideWhenUsed/>
    <w:rsid w:val="000E593E"/>
    <w:rPr>
      <w:rFonts w:ascii="Times New Roman" w:hAnsi="Times New Roman" w:cs="Times New Roman"/>
      <w:color w:val="auto"/>
      <w:sz w:val="20"/>
      <w:szCs w:val="20"/>
    </w:rPr>
  </w:style>
  <w:style w:type="character" w:customStyle="1" w:styleId="FootnoteTextChar">
    <w:name w:val="Footnote Text Char"/>
    <w:basedOn w:val="DefaultParagraphFont"/>
    <w:link w:val="FootnoteText"/>
    <w:uiPriority w:val="99"/>
    <w:rsid w:val="000E593E"/>
  </w:style>
  <w:style w:type="paragraph" w:styleId="ListParagraph">
    <w:name w:val="List Paragraph"/>
    <w:aliases w:val="abc,bullet 1,bullet,List Paragraph1,List Paragraph11,List Paragraph12,List Paragraph2,Thang2,VNA - List Paragraph,1.,Table Sequence,List paragraph,PIM_Danh muc cham,List Paragraph_FS,list paragraph for total document,Bullet,bl,Bullet L1"/>
    <w:basedOn w:val="Normal"/>
    <w:link w:val="ListParagraphChar"/>
    <w:uiPriority w:val="34"/>
    <w:qFormat/>
    <w:rsid w:val="000E593E"/>
    <w:pPr>
      <w:ind w:left="720"/>
    </w:pPr>
    <w:rPr>
      <w:rFonts w:ascii="Times New Roman" w:hAnsi="Times New Roman" w:cs="Times New Roman"/>
      <w:color w:val="auto"/>
      <w:sz w:val="28"/>
    </w:rPr>
  </w:style>
  <w:style w:type="character" w:customStyle="1" w:styleId="ListParagraphChar">
    <w:name w:val="List Paragraph Char"/>
    <w:aliases w:val="abc Char,bullet 1 Char,bullet Char,List Paragraph1 Char,List Paragraph11 Char,List Paragraph12 Char,List Paragraph2 Char,Thang2 Char,VNA - List Paragraph Char,1. Char,Table Sequence Char,List paragraph Char,PIM_Danh muc cham Char"/>
    <w:link w:val="ListParagraph"/>
    <w:uiPriority w:val="1"/>
    <w:qFormat/>
    <w:locked/>
    <w:rsid w:val="000E593E"/>
    <w:rPr>
      <w:sz w:val="28"/>
      <w:szCs w:val="24"/>
    </w:rPr>
  </w:style>
  <w:style w:type="paragraph" w:styleId="Title">
    <w:name w:val="Title"/>
    <w:basedOn w:val="Normal"/>
    <w:link w:val="TitleChar"/>
    <w:qFormat/>
    <w:rsid w:val="000E593E"/>
    <w:pPr>
      <w:spacing w:before="100" w:beforeAutospacing="1" w:after="100" w:afterAutospacing="1"/>
    </w:pPr>
    <w:rPr>
      <w:rFonts w:ascii="Times New Roman" w:hAnsi="Times New Roman" w:cs="Times New Roman"/>
      <w:color w:val="auto"/>
      <w:sz w:val="24"/>
    </w:rPr>
  </w:style>
  <w:style w:type="character" w:customStyle="1" w:styleId="TitleChar">
    <w:name w:val="Title Char"/>
    <w:link w:val="Title"/>
    <w:rsid w:val="000E593E"/>
    <w:rPr>
      <w:sz w:val="24"/>
      <w:szCs w:val="24"/>
    </w:rPr>
  </w:style>
  <w:style w:type="character" w:customStyle="1" w:styleId="fontstyle21">
    <w:name w:val="fontstyle21"/>
    <w:rsid w:val="000E593E"/>
    <w:rPr>
      <w:rFonts w:ascii="Times New Roman" w:hAnsi="Times New Roman" w:cs="Times New Roman" w:hint="default"/>
      <w:b w:val="0"/>
      <w:bCs w:val="0"/>
      <w:i/>
      <w:iCs/>
      <w:color w:val="000000"/>
      <w:sz w:val="26"/>
      <w:szCs w:val="26"/>
    </w:rPr>
  </w:style>
  <w:style w:type="paragraph" w:styleId="Caption">
    <w:name w:val="caption"/>
    <w:basedOn w:val="Normal"/>
    <w:next w:val="Normal"/>
    <w:uiPriority w:val="35"/>
    <w:unhideWhenUsed/>
    <w:qFormat/>
    <w:rsid w:val="000E593E"/>
    <w:rPr>
      <w:rFonts w:ascii="Calibri" w:eastAsia="Calibri" w:hAnsi="Calibri" w:cs="Times New Roman"/>
      <w:b/>
      <w:bCs/>
      <w:color w:val="4F81BD"/>
      <w:sz w:val="18"/>
      <w:szCs w:val="18"/>
    </w:rPr>
  </w:style>
  <w:style w:type="paragraph" w:customStyle="1" w:styleId="Default">
    <w:name w:val="Default"/>
    <w:rsid w:val="000E593E"/>
    <w:pPr>
      <w:autoSpaceDE w:val="0"/>
      <w:autoSpaceDN w:val="0"/>
      <w:adjustRightInd w:val="0"/>
    </w:pPr>
    <w:rPr>
      <w:rFonts w:eastAsia="Calibri"/>
      <w:color w:val="000000"/>
      <w:sz w:val="24"/>
      <w:szCs w:val="24"/>
    </w:rPr>
  </w:style>
  <w:style w:type="character" w:customStyle="1" w:styleId="Heading3Char">
    <w:name w:val="Heading 3 Char"/>
    <w:link w:val="Heading3"/>
    <w:uiPriority w:val="9"/>
    <w:qFormat/>
    <w:rsid w:val="0099378F"/>
    <w:rPr>
      <w:rFonts w:cs="Arial"/>
      <w:b/>
      <w:bCs/>
      <w:color w:val="000000"/>
      <w:sz w:val="26"/>
      <w:szCs w:val="24"/>
    </w:rPr>
  </w:style>
  <w:style w:type="character" w:customStyle="1" w:styleId="Heading5Char">
    <w:name w:val="Heading 5 Char"/>
    <w:link w:val="Heading5"/>
    <w:rsid w:val="000E593E"/>
    <w:rPr>
      <w:rFonts w:ascii="VNI-Times" w:hAnsi="VNI-Times"/>
      <w:b/>
      <w:bCs/>
      <w:sz w:val="24"/>
    </w:rPr>
  </w:style>
  <w:style w:type="paragraph" w:styleId="BalloonText">
    <w:name w:val="Balloon Text"/>
    <w:basedOn w:val="Normal"/>
    <w:link w:val="BalloonTextChar"/>
    <w:uiPriority w:val="99"/>
    <w:unhideWhenUsed/>
    <w:rsid w:val="000E593E"/>
    <w:rPr>
      <w:rFonts w:ascii="Segoe UI" w:eastAsia="Calibri" w:hAnsi="Segoe UI" w:cs="Segoe UI"/>
      <w:color w:val="auto"/>
      <w:sz w:val="18"/>
      <w:szCs w:val="18"/>
    </w:rPr>
  </w:style>
  <w:style w:type="character" w:customStyle="1" w:styleId="BalloonTextChar">
    <w:name w:val="Balloon Text Char"/>
    <w:link w:val="BalloonText"/>
    <w:uiPriority w:val="99"/>
    <w:rsid w:val="000E593E"/>
    <w:rPr>
      <w:rFonts w:ascii="Segoe UI" w:eastAsia="Calibri" w:hAnsi="Segoe UI" w:cs="Segoe UI"/>
      <w:sz w:val="18"/>
      <w:szCs w:val="18"/>
    </w:rPr>
  </w:style>
  <w:style w:type="character" w:styleId="UnresolvedMention">
    <w:name w:val="Unresolved Mention"/>
    <w:uiPriority w:val="99"/>
    <w:semiHidden/>
    <w:unhideWhenUsed/>
    <w:rsid w:val="000B12A3"/>
    <w:rPr>
      <w:color w:val="605E5C"/>
      <w:shd w:val="clear" w:color="auto" w:fill="E1DFDD"/>
    </w:rPr>
  </w:style>
  <w:style w:type="character" w:styleId="FollowedHyperlink">
    <w:name w:val="FollowedHyperlink"/>
    <w:rsid w:val="004C0B5E"/>
    <w:rPr>
      <w:color w:val="954F72"/>
      <w:u w:val="single"/>
    </w:rPr>
  </w:style>
  <w:style w:type="character" w:customStyle="1" w:styleId="bold">
    <w:name w:val="bold"/>
    <w:basedOn w:val="DefaultParagraphFont"/>
    <w:rsid w:val="000944E3"/>
  </w:style>
  <w:style w:type="character" w:customStyle="1" w:styleId="ng-star-inserted">
    <w:name w:val="ng-star-inserted"/>
    <w:basedOn w:val="DefaultParagraphFont"/>
    <w:qFormat/>
    <w:rsid w:val="000944E3"/>
  </w:style>
  <w:style w:type="character" w:styleId="Strong">
    <w:name w:val="Strong"/>
    <w:uiPriority w:val="22"/>
    <w:qFormat/>
    <w:rsid w:val="00141147"/>
    <w:rPr>
      <w:b/>
      <w:bCs/>
    </w:rPr>
  </w:style>
  <w:style w:type="paragraph" w:customStyle="1" w:styleId="query-text-line">
    <w:name w:val="query-text-line"/>
    <w:basedOn w:val="Normal"/>
    <w:rsid w:val="00A3552C"/>
    <w:pPr>
      <w:spacing w:before="100" w:beforeAutospacing="1" w:after="100" w:afterAutospacing="1"/>
    </w:pPr>
    <w:rPr>
      <w:rFonts w:ascii="Times New Roman" w:hAnsi="Times New Roman" w:cs="Times New Roman"/>
      <w:color w:val="auto"/>
      <w:sz w:val="24"/>
    </w:rPr>
  </w:style>
  <w:style w:type="paragraph" w:styleId="TOC1">
    <w:name w:val="toc 1"/>
    <w:basedOn w:val="Normal"/>
    <w:next w:val="Normal"/>
    <w:autoRedefine/>
    <w:uiPriority w:val="39"/>
    <w:rsid w:val="00D71F30"/>
    <w:pPr>
      <w:tabs>
        <w:tab w:val="right" w:leader="dot" w:pos="8920"/>
      </w:tabs>
      <w:spacing w:before="60" w:after="60" w:line="288" w:lineRule="auto"/>
      <w:jc w:val="center"/>
    </w:pPr>
    <w:rPr>
      <w:rFonts w:ascii="Times New Roman Bold" w:hAnsi="Times New Roman Bold" w:cs="Times New Roman"/>
      <w:b/>
      <w:bCs/>
      <w:noProof/>
      <w:spacing w:val="-4"/>
      <w:szCs w:val="26"/>
      <w:lang w:val="nl-NL"/>
    </w:rPr>
  </w:style>
  <w:style w:type="paragraph" w:styleId="TOC2">
    <w:name w:val="toc 2"/>
    <w:basedOn w:val="Normal"/>
    <w:next w:val="Normal"/>
    <w:autoRedefine/>
    <w:uiPriority w:val="39"/>
    <w:rsid w:val="009624D7"/>
    <w:pPr>
      <w:tabs>
        <w:tab w:val="right" w:leader="dot" w:pos="8920"/>
      </w:tabs>
      <w:spacing w:before="80" w:after="80" w:line="312" w:lineRule="auto"/>
    </w:pPr>
    <w:rPr>
      <w:rFonts w:ascii="Times New Roman" w:hAnsi="Times New Roman" w:cs="Times New Roman"/>
      <w:noProof/>
      <w:szCs w:val="26"/>
    </w:rPr>
  </w:style>
  <w:style w:type="paragraph" w:styleId="TOC3">
    <w:name w:val="toc 3"/>
    <w:basedOn w:val="Normal"/>
    <w:next w:val="Normal"/>
    <w:autoRedefine/>
    <w:uiPriority w:val="39"/>
    <w:rsid w:val="00E52A43"/>
    <w:pPr>
      <w:tabs>
        <w:tab w:val="right" w:leader="dot" w:pos="8920"/>
      </w:tabs>
      <w:spacing w:before="60" w:after="60" w:line="288" w:lineRule="auto"/>
      <w:ind w:firstLine="284"/>
    </w:pPr>
  </w:style>
  <w:style w:type="paragraph" w:styleId="TOC4">
    <w:name w:val="toc 4"/>
    <w:basedOn w:val="Normal"/>
    <w:next w:val="Normal"/>
    <w:autoRedefine/>
    <w:uiPriority w:val="39"/>
    <w:rsid w:val="009624D7"/>
    <w:pPr>
      <w:tabs>
        <w:tab w:val="right" w:leader="dot" w:pos="8920"/>
      </w:tabs>
      <w:spacing w:before="80" w:after="80" w:line="312" w:lineRule="auto"/>
      <w:ind w:firstLine="567"/>
    </w:pPr>
    <w:rPr>
      <w:rFonts w:ascii="Times New Roman" w:hAnsi="Times New Roman" w:cs="Times New Roman"/>
      <w:i/>
      <w:iCs/>
      <w:noProof/>
      <w:szCs w:val="26"/>
      <w:lang w:val="nl-NL"/>
    </w:rPr>
  </w:style>
  <w:style w:type="paragraph" w:customStyle="1" w:styleId="tctc17--s-biu-">
    <w:name w:val="tctc_17--số-biểu-đồ"/>
    <w:basedOn w:val="Normal"/>
    <w:rsid w:val="004C152A"/>
    <w:pPr>
      <w:spacing w:before="100" w:beforeAutospacing="1" w:after="100" w:afterAutospacing="1"/>
    </w:pPr>
    <w:rPr>
      <w:rFonts w:ascii="Times New Roman" w:hAnsi="Times New Roman" w:cs="Times New Roman"/>
      <w:color w:val="auto"/>
      <w:sz w:val="24"/>
    </w:rPr>
  </w:style>
  <w:style w:type="character" w:customStyle="1" w:styleId="qu--ch-n">
    <w:name w:val="qu--ch-n"/>
    <w:basedOn w:val="DefaultParagraphFont"/>
    <w:rsid w:val="004C152A"/>
  </w:style>
  <w:style w:type="paragraph" w:customStyle="1" w:styleId="first-token">
    <w:name w:val="first-token"/>
    <w:basedOn w:val="Normal"/>
    <w:rsid w:val="004C152A"/>
    <w:pPr>
      <w:spacing w:before="100" w:beforeAutospacing="1" w:after="100" w:afterAutospacing="1"/>
    </w:pPr>
    <w:rPr>
      <w:rFonts w:ascii="Times New Roman" w:hAnsi="Times New Roman" w:cs="Times New Roman"/>
      <w:color w:val="auto"/>
      <w:sz w:val="24"/>
    </w:rPr>
  </w:style>
  <w:style w:type="paragraph" w:styleId="ListBullet">
    <w:name w:val="List Bullet"/>
    <w:basedOn w:val="Normal"/>
    <w:rsid w:val="004C152A"/>
    <w:pPr>
      <w:numPr>
        <w:numId w:val="1"/>
      </w:numPr>
      <w:contextualSpacing/>
    </w:pPr>
  </w:style>
  <w:style w:type="paragraph" w:customStyle="1" w:styleId="noidung">
    <w:name w:val="noi dung"/>
    <w:rsid w:val="00FF6666"/>
    <w:pPr>
      <w:autoSpaceDE w:val="0"/>
      <w:autoSpaceDN w:val="0"/>
      <w:adjustRightInd w:val="0"/>
      <w:ind w:firstLine="720"/>
      <w:jc w:val="both"/>
    </w:pPr>
    <w:rPr>
      <w:rFonts w:eastAsia="Calibri"/>
      <w:iCs/>
      <w:color w:val="000000"/>
      <w:sz w:val="26"/>
      <w:szCs w:val="26"/>
    </w:rPr>
  </w:style>
  <w:style w:type="paragraph" w:customStyle="1" w:styleId="00B">
    <w:name w:val="00B"/>
    <w:basedOn w:val="Normal"/>
    <w:uiPriority w:val="99"/>
    <w:qFormat/>
    <w:rsid w:val="00FF6666"/>
    <w:pPr>
      <w:keepNext/>
      <w:spacing w:before="120" w:line="360" w:lineRule="auto"/>
      <w:jc w:val="center"/>
      <w:outlineLvl w:val="0"/>
    </w:pPr>
    <w:rPr>
      <w:rFonts w:ascii="Times New Roman" w:hAnsi="Times New Roman" w:cs="Times New Roman"/>
      <w:b/>
      <w:bCs/>
      <w:i/>
      <w:color w:val="auto"/>
      <w:kern w:val="32"/>
      <w:szCs w:val="26"/>
    </w:rPr>
  </w:style>
  <w:style w:type="paragraph" w:styleId="TOCHeading">
    <w:name w:val="TOC Heading"/>
    <w:basedOn w:val="Heading1"/>
    <w:next w:val="Normal"/>
    <w:uiPriority w:val="39"/>
    <w:unhideWhenUsed/>
    <w:qFormat/>
    <w:rsid w:val="00FF6666"/>
    <w:pPr>
      <w:keepLines/>
      <w:spacing w:before="240" w:after="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character" w:styleId="PageNumber">
    <w:name w:val="page number"/>
    <w:basedOn w:val="DefaultParagraphFont"/>
    <w:uiPriority w:val="99"/>
    <w:rsid w:val="00FF6666"/>
  </w:style>
  <w:style w:type="character" w:styleId="FootnoteReference">
    <w:name w:val="footnote reference"/>
    <w:uiPriority w:val="99"/>
    <w:unhideWhenUsed/>
    <w:rsid w:val="00FF6666"/>
    <w:rPr>
      <w:vertAlign w:val="superscript"/>
    </w:rPr>
  </w:style>
  <w:style w:type="character" w:customStyle="1" w:styleId="apple-converted-space">
    <w:name w:val="apple-converted-space"/>
    <w:rsid w:val="00FF6666"/>
  </w:style>
  <w:style w:type="paragraph" w:styleId="DocumentMap">
    <w:name w:val="Document Map"/>
    <w:basedOn w:val="Normal"/>
    <w:link w:val="DocumentMapChar"/>
    <w:uiPriority w:val="99"/>
    <w:rsid w:val="00FF6666"/>
    <w:rPr>
      <w:rFonts w:ascii="Helvetica" w:hAnsi="Helvetica" w:cs="Times New Roman"/>
      <w:color w:val="auto"/>
      <w:sz w:val="24"/>
    </w:rPr>
  </w:style>
  <w:style w:type="character" w:customStyle="1" w:styleId="DocumentMapChar">
    <w:name w:val="Document Map Char"/>
    <w:basedOn w:val="DefaultParagraphFont"/>
    <w:link w:val="DocumentMap"/>
    <w:uiPriority w:val="99"/>
    <w:rsid w:val="00FF6666"/>
    <w:rPr>
      <w:rFonts w:ascii="Helvetica" w:hAnsi="Helvetica"/>
      <w:sz w:val="24"/>
      <w:szCs w:val="24"/>
    </w:rPr>
  </w:style>
  <w:style w:type="character" w:customStyle="1" w:styleId="notranslate">
    <w:name w:val="notranslate"/>
    <w:rsid w:val="00FF6666"/>
  </w:style>
  <w:style w:type="paragraph" w:styleId="HTMLPreformatted">
    <w:name w:val="HTML Preformatted"/>
    <w:basedOn w:val="Normal"/>
    <w:link w:val="HTMLPreformattedChar"/>
    <w:uiPriority w:val="99"/>
    <w:unhideWhenUsed/>
    <w:rsid w:val="00FF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FF6666"/>
    <w:rPr>
      <w:rFonts w:ascii="Courier New" w:hAnsi="Courier New" w:cs="Courier New"/>
    </w:rPr>
  </w:style>
  <w:style w:type="character" w:customStyle="1" w:styleId="hps">
    <w:name w:val="hps"/>
    <w:rsid w:val="00FF6666"/>
  </w:style>
  <w:style w:type="paragraph" w:customStyle="1" w:styleId="Normal1">
    <w:name w:val="Normal1"/>
    <w:rsid w:val="00FF6666"/>
    <w:rPr>
      <w:sz w:val="28"/>
      <w:szCs w:val="28"/>
    </w:rPr>
  </w:style>
  <w:style w:type="paragraph" w:customStyle="1" w:styleId="ft10">
    <w:name w:val="ft10"/>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23">
    <w:name w:val="ft23"/>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3">
    <w:name w:val="ft3"/>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18">
    <w:name w:val="ft18"/>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24">
    <w:name w:val="ft24"/>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19">
    <w:name w:val="ft19"/>
    <w:basedOn w:val="Normal"/>
    <w:rsid w:val="00FF6666"/>
    <w:pPr>
      <w:spacing w:before="100" w:beforeAutospacing="1" w:after="100" w:afterAutospacing="1"/>
    </w:pPr>
    <w:rPr>
      <w:rFonts w:ascii="Times New Roman" w:hAnsi="Times New Roman" w:cs="Times New Roman"/>
      <w:color w:val="auto"/>
      <w:sz w:val="24"/>
    </w:rPr>
  </w:style>
  <w:style w:type="paragraph" w:customStyle="1" w:styleId="ft27">
    <w:name w:val="ft27"/>
    <w:basedOn w:val="Normal"/>
    <w:rsid w:val="00FF6666"/>
    <w:pPr>
      <w:spacing w:before="100" w:beforeAutospacing="1" w:after="100" w:afterAutospacing="1"/>
    </w:pPr>
    <w:rPr>
      <w:rFonts w:ascii="Times New Roman" w:hAnsi="Times New Roman" w:cs="Times New Roman"/>
      <w:color w:val="auto"/>
      <w:sz w:val="24"/>
    </w:rPr>
  </w:style>
  <w:style w:type="character" w:customStyle="1" w:styleId="fc">
    <w:name w:val="fc"/>
    <w:rsid w:val="00FF6666"/>
  </w:style>
  <w:style w:type="character" w:customStyle="1" w:styleId="fb">
    <w:name w:val="fb"/>
    <w:rsid w:val="00FF6666"/>
  </w:style>
  <w:style w:type="character" w:customStyle="1" w:styleId="l55">
    <w:name w:val="l55"/>
    <w:rsid w:val="00FF6666"/>
  </w:style>
  <w:style w:type="character" w:customStyle="1" w:styleId="l56">
    <w:name w:val="l56"/>
    <w:rsid w:val="00FF6666"/>
  </w:style>
  <w:style w:type="character" w:customStyle="1" w:styleId="l5c">
    <w:name w:val="l5c"/>
    <w:rsid w:val="00FF6666"/>
  </w:style>
  <w:style w:type="character" w:customStyle="1" w:styleId="fd">
    <w:name w:val="fd"/>
    <w:rsid w:val="00FF6666"/>
  </w:style>
  <w:style w:type="character" w:customStyle="1" w:styleId="fe">
    <w:name w:val="fe"/>
    <w:rsid w:val="00FF6666"/>
  </w:style>
  <w:style w:type="character" w:customStyle="1" w:styleId="l43">
    <w:name w:val="l43"/>
    <w:rsid w:val="00FF6666"/>
  </w:style>
  <w:style w:type="character" w:customStyle="1" w:styleId="l42">
    <w:name w:val="l42"/>
    <w:rsid w:val="00FF6666"/>
  </w:style>
  <w:style w:type="character" w:customStyle="1" w:styleId="l45">
    <w:name w:val="l45"/>
    <w:rsid w:val="00FF6666"/>
  </w:style>
  <w:style w:type="character" w:customStyle="1" w:styleId="l0">
    <w:name w:val="l0"/>
    <w:rsid w:val="00FF6666"/>
  </w:style>
  <w:style w:type="character" w:customStyle="1" w:styleId="l4a">
    <w:name w:val="l4a"/>
    <w:rsid w:val="00FF6666"/>
  </w:style>
  <w:style w:type="character" w:customStyle="1" w:styleId="l91">
    <w:name w:val="l91"/>
    <w:rsid w:val="00FF6666"/>
  </w:style>
  <w:style w:type="character" w:customStyle="1" w:styleId="l37">
    <w:name w:val="l37"/>
    <w:rsid w:val="00FF6666"/>
  </w:style>
  <w:style w:type="character" w:customStyle="1" w:styleId="l41">
    <w:name w:val="l41"/>
    <w:rsid w:val="00FF6666"/>
  </w:style>
  <w:style w:type="character" w:customStyle="1" w:styleId="l61">
    <w:name w:val="l61"/>
    <w:rsid w:val="00FF6666"/>
  </w:style>
  <w:style w:type="character" w:customStyle="1" w:styleId="l3b">
    <w:name w:val="l3b"/>
    <w:rsid w:val="00FF6666"/>
  </w:style>
  <w:style w:type="character" w:customStyle="1" w:styleId="l48">
    <w:name w:val="l48"/>
    <w:rsid w:val="00FF6666"/>
  </w:style>
  <w:style w:type="character" w:customStyle="1" w:styleId="l44">
    <w:name w:val="l44"/>
    <w:rsid w:val="00FF6666"/>
  </w:style>
  <w:style w:type="character" w:customStyle="1" w:styleId="l52">
    <w:name w:val="l52"/>
    <w:rsid w:val="00FF6666"/>
  </w:style>
  <w:style w:type="character" w:customStyle="1" w:styleId="l3d">
    <w:name w:val="l3d"/>
    <w:rsid w:val="00FF6666"/>
  </w:style>
  <w:style w:type="character" w:customStyle="1" w:styleId="w177">
    <w:name w:val="w177"/>
    <w:rsid w:val="00FF6666"/>
  </w:style>
  <w:style w:type="character" w:customStyle="1" w:styleId="l79">
    <w:name w:val="l79"/>
    <w:rsid w:val="00FF6666"/>
  </w:style>
  <w:style w:type="character" w:customStyle="1" w:styleId="l3a">
    <w:name w:val="l3a"/>
    <w:rsid w:val="00FF6666"/>
  </w:style>
  <w:style w:type="character" w:customStyle="1" w:styleId="l4e">
    <w:name w:val="l4e"/>
    <w:rsid w:val="00FF6666"/>
  </w:style>
  <w:style w:type="character" w:customStyle="1" w:styleId="w11d">
    <w:name w:val="w11d"/>
    <w:rsid w:val="00FF6666"/>
  </w:style>
  <w:style w:type="character" w:customStyle="1" w:styleId="l53">
    <w:name w:val="l53"/>
    <w:rsid w:val="00FF6666"/>
  </w:style>
  <w:style w:type="character" w:customStyle="1" w:styleId="wc1">
    <w:name w:val="wc1"/>
    <w:rsid w:val="00FF6666"/>
  </w:style>
  <w:style w:type="character" w:customStyle="1" w:styleId="l3c">
    <w:name w:val="l3c"/>
    <w:rsid w:val="00FF6666"/>
  </w:style>
  <w:style w:type="character" w:customStyle="1" w:styleId="w146">
    <w:name w:val="w146"/>
    <w:rsid w:val="00FF6666"/>
  </w:style>
  <w:style w:type="character" w:customStyle="1" w:styleId="l46">
    <w:name w:val="l46"/>
    <w:rsid w:val="00FF6666"/>
  </w:style>
  <w:style w:type="character" w:customStyle="1" w:styleId="l40">
    <w:name w:val="l40"/>
    <w:rsid w:val="00FF6666"/>
  </w:style>
  <w:style w:type="character" w:customStyle="1" w:styleId="l11">
    <w:name w:val="l11"/>
    <w:rsid w:val="00FF6666"/>
  </w:style>
  <w:style w:type="character" w:customStyle="1" w:styleId="l63">
    <w:name w:val="l63"/>
    <w:rsid w:val="00FF6666"/>
  </w:style>
  <w:style w:type="character" w:customStyle="1" w:styleId="l49">
    <w:name w:val="l49"/>
    <w:rsid w:val="00FF6666"/>
  </w:style>
  <w:style w:type="character" w:customStyle="1" w:styleId="l92">
    <w:name w:val="l92"/>
    <w:rsid w:val="00FF6666"/>
  </w:style>
  <w:style w:type="character" w:customStyle="1" w:styleId="wbf">
    <w:name w:val="wbf"/>
    <w:rsid w:val="00FF6666"/>
  </w:style>
  <w:style w:type="character" w:customStyle="1" w:styleId="l15">
    <w:name w:val="l15"/>
    <w:rsid w:val="00FF6666"/>
  </w:style>
  <w:style w:type="character" w:customStyle="1" w:styleId="l51">
    <w:name w:val="l51"/>
    <w:rsid w:val="00FF6666"/>
  </w:style>
  <w:style w:type="character" w:customStyle="1" w:styleId="l64">
    <w:name w:val="l64"/>
    <w:rsid w:val="00FF6666"/>
  </w:style>
  <w:style w:type="character" w:customStyle="1" w:styleId="laf">
    <w:name w:val="laf"/>
    <w:rsid w:val="00FF6666"/>
  </w:style>
  <w:style w:type="character" w:customStyle="1" w:styleId="lb0">
    <w:name w:val="lb0"/>
    <w:rsid w:val="00FF6666"/>
  </w:style>
  <w:style w:type="character" w:customStyle="1" w:styleId="wf9">
    <w:name w:val="wf9"/>
    <w:rsid w:val="00FF6666"/>
  </w:style>
  <w:style w:type="character" w:customStyle="1" w:styleId="l4b">
    <w:name w:val="l4b"/>
    <w:rsid w:val="00FF6666"/>
  </w:style>
  <w:style w:type="character" w:customStyle="1" w:styleId="l75">
    <w:name w:val="l75"/>
    <w:rsid w:val="00FF6666"/>
  </w:style>
  <w:style w:type="character" w:customStyle="1" w:styleId="f10">
    <w:name w:val="f10"/>
    <w:rsid w:val="00FF6666"/>
  </w:style>
  <w:style w:type="character" w:customStyle="1" w:styleId="f11">
    <w:name w:val="f11"/>
    <w:rsid w:val="00FF6666"/>
  </w:style>
  <w:style w:type="character" w:customStyle="1" w:styleId="l68">
    <w:name w:val="l68"/>
    <w:rsid w:val="00FF6666"/>
  </w:style>
  <w:style w:type="character" w:customStyle="1" w:styleId="w37">
    <w:name w:val="w37"/>
    <w:rsid w:val="00FF6666"/>
  </w:style>
  <w:style w:type="character" w:customStyle="1" w:styleId="w72">
    <w:name w:val="w72"/>
    <w:rsid w:val="00FF6666"/>
  </w:style>
  <w:style w:type="character" w:customStyle="1" w:styleId="l5d">
    <w:name w:val="l5d"/>
    <w:rsid w:val="00FF6666"/>
  </w:style>
  <w:style w:type="character" w:customStyle="1" w:styleId="lb1">
    <w:name w:val="lb1"/>
    <w:rsid w:val="00FF6666"/>
  </w:style>
  <w:style w:type="character" w:customStyle="1" w:styleId="l6a">
    <w:name w:val="l6a"/>
    <w:rsid w:val="00FF6666"/>
  </w:style>
  <w:style w:type="character" w:customStyle="1" w:styleId="lb3">
    <w:name w:val="lb3"/>
    <w:rsid w:val="00FF6666"/>
  </w:style>
  <w:style w:type="character" w:customStyle="1" w:styleId="l9b">
    <w:name w:val="l9b"/>
    <w:rsid w:val="00FF6666"/>
  </w:style>
  <w:style w:type="character" w:customStyle="1" w:styleId="la8">
    <w:name w:val="la8"/>
    <w:rsid w:val="00FF6666"/>
  </w:style>
  <w:style w:type="character" w:customStyle="1" w:styleId="la7">
    <w:name w:val="la7"/>
    <w:rsid w:val="00FF6666"/>
  </w:style>
  <w:style w:type="character" w:customStyle="1" w:styleId="l72">
    <w:name w:val="l72"/>
    <w:rsid w:val="00FF6666"/>
  </w:style>
  <w:style w:type="character" w:customStyle="1" w:styleId="w2a5">
    <w:name w:val="w2a5"/>
    <w:rsid w:val="00FF6666"/>
  </w:style>
  <w:style w:type="character" w:customStyle="1" w:styleId="w2a8">
    <w:name w:val="w2a8"/>
    <w:rsid w:val="00FF6666"/>
  </w:style>
  <w:style w:type="character" w:customStyle="1" w:styleId="l99">
    <w:name w:val="l99"/>
    <w:rsid w:val="00FF6666"/>
  </w:style>
  <w:style w:type="character" w:customStyle="1" w:styleId="lb8">
    <w:name w:val="lb8"/>
    <w:rsid w:val="00FF6666"/>
  </w:style>
  <w:style w:type="character" w:customStyle="1" w:styleId="lb9">
    <w:name w:val="lb9"/>
    <w:rsid w:val="00FF6666"/>
  </w:style>
  <w:style w:type="character" w:customStyle="1" w:styleId="lba">
    <w:name w:val="lba"/>
    <w:rsid w:val="00FF6666"/>
  </w:style>
  <w:style w:type="character" w:customStyle="1" w:styleId="f12">
    <w:name w:val="f12"/>
    <w:rsid w:val="00FF6666"/>
  </w:style>
  <w:style w:type="character" w:customStyle="1" w:styleId="f13">
    <w:name w:val="f13"/>
    <w:rsid w:val="00FF6666"/>
  </w:style>
  <w:style w:type="character" w:customStyle="1" w:styleId="l6b">
    <w:name w:val="l6b"/>
    <w:rsid w:val="00FF6666"/>
  </w:style>
  <w:style w:type="character" w:customStyle="1" w:styleId="l6f">
    <w:name w:val="l6f"/>
    <w:rsid w:val="00FF6666"/>
  </w:style>
  <w:style w:type="character" w:customStyle="1" w:styleId="l39">
    <w:name w:val="l39"/>
    <w:rsid w:val="00FF6666"/>
  </w:style>
  <w:style w:type="character" w:customStyle="1" w:styleId="w4b">
    <w:name w:val="w4b"/>
    <w:rsid w:val="00FF6666"/>
  </w:style>
  <w:style w:type="character" w:customStyle="1" w:styleId="l4f">
    <w:name w:val="l4f"/>
    <w:rsid w:val="00FF6666"/>
  </w:style>
  <w:style w:type="character" w:customStyle="1" w:styleId="w219">
    <w:name w:val="w219"/>
    <w:rsid w:val="00FF6666"/>
  </w:style>
  <w:style w:type="character" w:customStyle="1" w:styleId="lad">
    <w:name w:val="lad"/>
    <w:rsid w:val="00FF6666"/>
  </w:style>
  <w:style w:type="character" w:customStyle="1" w:styleId="w89">
    <w:name w:val="w89"/>
    <w:rsid w:val="00FF6666"/>
  </w:style>
  <w:style w:type="character" w:customStyle="1" w:styleId="w5b">
    <w:name w:val="w5b"/>
    <w:rsid w:val="00FF6666"/>
  </w:style>
  <w:style w:type="character" w:customStyle="1" w:styleId="l76">
    <w:name w:val="l76"/>
    <w:rsid w:val="00FF6666"/>
  </w:style>
  <w:style w:type="character" w:customStyle="1" w:styleId="l65">
    <w:name w:val="l65"/>
    <w:rsid w:val="00FF6666"/>
  </w:style>
  <w:style w:type="character" w:customStyle="1" w:styleId="w96">
    <w:name w:val="w96"/>
    <w:rsid w:val="00FF6666"/>
  </w:style>
  <w:style w:type="character" w:customStyle="1" w:styleId="w6a">
    <w:name w:val="w6a"/>
    <w:rsid w:val="00FF6666"/>
  </w:style>
  <w:style w:type="character" w:customStyle="1" w:styleId="lbe">
    <w:name w:val="lbe"/>
    <w:rsid w:val="00FF6666"/>
  </w:style>
  <w:style w:type="character" w:customStyle="1" w:styleId="w2ca">
    <w:name w:val="w2ca"/>
    <w:rsid w:val="00FF6666"/>
  </w:style>
  <w:style w:type="character" w:customStyle="1" w:styleId="w1c2">
    <w:name w:val="w1c2"/>
    <w:rsid w:val="00FF6666"/>
  </w:style>
  <w:style w:type="character" w:customStyle="1" w:styleId="l58">
    <w:name w:val="l58"/>
    <w:rsid w:val="00FF6666"/>
  </w:style>
  <w:style w:type="character" w:customStyle="1" w:styleId="w68">
    <w:name w:val="w68"/>
    <w:rsid w:val="00FF6666"/>
  </w:style>
  <w:style w:type="character" w:customStyle="1" w:styleId="l38">
    <w:name w:val="l38"/>
    <w:rsid w:val="00FF6666"/>
  </w:style>
  <w:style w:type="character" w:customStyle="1" w:styleId="l50">
    <w:name w:val="l50"/>
    <w:rsid w:val="00FF6666"/>
  </w:style>
  <w:style w:type="character" w:customStyle="1" w:styleId="l3e">
    <w:name w:val="l3e"/>
    <w:rsid w:val="00FF6666"/>
  </w:style>
  <w:style w:type="character" w:customStyle="1" w:styleId="l9">
    <w:name w:val="l9"/>
    <w:rsid w:val="00FF6666"/>
  </w:style>
  <w:style w:type="character" w:customStyle="1" w:styleId="lbf">
    <w:name w:val="lbf"/>
    <w:rsid w:val="00FF6666"/>
  </w:style>
  <w:style w:type="character" w:customStyle="1" w:styleId="a">
    <w:name w:val="_"/>
    <w:rsid w:val="00FF6666"/>
  </w:style>
  <w:style w:type="character" w:customStyle="1" w:styleId="l9d">
    <w:name w:val="l9d"/>
    <w:rsid w:val="00FF6666"/>
  </w:style>
  <w:style w:type="character" w:customStyle="1" w:styleId="f14">
    <w:name w:val="f14"/>
    <w:rsid w:val="00FF6666"/>
  </w:style>
  <w:style w:type="character" w:customStyle="1" w:styleId="f15">
    <w:name w:val="f15"/>
    <w:rsid w:val="00FF6666"/>
  </w:style>
  <w:style w:type="character" w:customStyle="1" w:styleId="lc3">
    <w:name w:val="lc3"/>
    <w:rsid w:val="00FF6666"/>
  </w:style>
  <w:style w:type="paragraph" w:customStyle="1" w:styleId="para">
    <w:name w:val="para"/>
    <w:basedOn w:val="Normal"/>
    <w:rsid w:val="00FF6666"/>
    <w:pPr>
      <w:spacing w:before="100" w:beforeAutospacing="1" w:after="100" w:afterAutospacing="1"/>
    </w:pPr>
    <w:rPr>
      <w:rFonts w:ascii="Times New Roman" w:hAnsi="Times New Roman" w:cs="Times New Roman"/>
      <w:color w:val="auto"/>
      <w:sz w:val="24"/>
    </w:rPr>
  </w:style>
  <w:style w:type="paragraph" w:customStyle="1" w:styleId="CharCharCharCharCharCharCharCharCharCharChar">
    <w:name w:val="Char Char Char Char Char Char Char Char Char Char Char"/>
    <w:basedOn w:val="Normal"/>
    <w:rsid w:val="00FF6666"/>
    <w:pPr>
      <w:spacing w:after="160" w:line="240" w:lineRule="exact"/>
    </w:pPr>
    <w:rPr>
      <w:rFonts w:ascii="Verdana" w:hAnsi="Verdana" w:cs="Times New Roman"/>
      <w:color w:val="auto"/>
      <w:sz w:val="20"/>
      <w:szCs w:val="20"/>
    </w:rPr>
  </w:style>
  <w:style w:type="paragraph" w:customStyle="1" w:styleId="1tenbai">
    <w:name w:val="1tenbai"/>
    <w:basedOn w:val="Normal"/>
    <w:rsid w:val="00FF6666"/>
    <w:pPr>
      <w:spacing w:before="100" w:beforeAutospacing="1" w:after="100" w:afterAutospacing="1"/>
    </w:pPr>
    <w:rPr>
      <w:rFonts w:ascii="Times New Roman" w:hAnsi="Times New Roman" w:cs="Times New Roman"/>
      <w:color w:val="auto"/>
      <w:sz w:val="24"/>
    </w:rPr>
  </w:style>
  <w:style w:type="character" w:customStyle="1" w:styleId="shorttext">
    <w:name w:val="short_text"/>
    <w:rsid w:val="00FF6666"/>
  </w:style>
  <w:style w:type="paragraph" w:customStyle="1" w:styleId="Char">
    <w:name w:val="Char"/>
    <w:basedOn w:val="Normal"/>
    <w:rsid w:val="00FF6666"/>
    <w:pPr>
      <w:pageBreakBefore/>
      <w:spacing w:before="100" w:beforeAutospacing="1" w:after="100" w:afterAutospacing="1"/>
    </w:pPr>
    <w:rPr>
      <w:rFonts w:ascii="Tahoma" w:hAnsi="Tahoma" w:cs="Tahoma"/>
      <w:color w:val="auto"/>
      <w:sz w:val="20"/>
      <w:szCs w:val="20"/>
    </w:rPr>
  </w:style>
  <w:style w:type="character" w:customStyle="1" w:styleId="CharChar9">
    <w:name w:val="Char Char9"/>
    <w:rsid w:val="00FF6666"/>
    <w:rPr>
      <w:rFonts w:ascii="Cambria" w:eastAsia="Times New Roman" w:hAnsi="Cambria" w:cs="Times New Roman"/>
      <w:b/>
      <w:bCs/>
      <w:color w:val="365F91"/>
      <w:sz w:val="28"/>
      <w:szCs w:val="28"/>
    </w:rPr>
  </w:style>
  <w:style w:type="paragraph" w:customStyle="1" w:styleId="CAP1">
    <w:name w:val="CAP1"/>
    <w:next w:val="Heading1"/>
    <w:qFormat/>
    <w:rsid w:val="00FF6666"/>
    <w:pPr>
      <w:spacing w:before="120" w:after="120"/>
      <w:jc w:val="both"/>
    </w:pPr>
    <w:rPr>
      <w:b/>
      <w:iCs/>
      <w:sz w:val="26"/>
      <w:szCs w:val="26"/>
    </w:rPr>
  </w:style>
  <w:style w:type="paragraph" w:customStyle="1" w:styleId="Stylenguon">
    <w:name w:val="Style_nguon"/>
    <w:basedOn w:val="Normal"/>
    <w:qFormat/>
    <w:rsid w:val="00FF6666"/>
    <w:pPr>
      <w:spacing w:after="160"/>
      <w:jc w:val="center"/>
    </w:pPr>
    <w:rPr>
      <w:rFonts w:ascii="Times New Roman" w:eastAsia="Calibri" w:hAnsi="Times New Roman" w:cs="Times New Roman"/>
      <w:i/>
      <w:color w:val="auto"/>
      <w:sz w:val="22"/>
      <w:szCs w:val="22"/>
    </w:rPr>
  </w:style>
  <w:style w:type="paragraph" w:customStyle="1" w:styleId="Styletenhinh">
    <w:name w:val="Style_ten hinh"/>
    <w:basedOn w:val="Caption"/>
    <w:qFormat/>
    <w:rsid w:val="00FF6666"/>
    <w:pPr>
      <w:jc w:val="center"/>
    </w:pPr>
    <w:rPr>
      <w:rFonts w:ascii="Times New Roman" w:hAnsi="Times New Roman"/>
      <w:bCs w:val="0"/>
      <w:i/>
      <w:iCs/>
      <w:color w:val="auto"/>
      <w:sz w:val="24"/>
      <w:szCs w:val="24"/>
    </w:rPr>
  </w:style>
  <w:style w:type="paragraph" w:customStyle="1" w:styleId="002">
    <w:name w:val="002"/>
    <w:basedOn w:val="Normal"/>
    <w:uiPriority w:val="99"/>
    <w:qFormat/>
    <w:rsid w:val="00FF6666"/>
    <w:pPr>
      <w:keepNext/>
      <w:spacing w:before="120" w:line="360" w:lineRule="auto"/>
      <w:jc w:val="both"/>
      <w:outlineLvl w:val="0"/>
    </w:pPr>
    <w:rPr>
      <w:rFonts w:ascii="Times New Roman" w:hAnsi="Times New Roman" w:cs="Times New Roman"/>
      <w:b/>
      <w:bCs/>
      <w:color w:val="auto"/>
      <w:kern w:val="32"/>
      <w:szCs w:val="26"/>
    </w:rPr>
  </w:style>
  <w:style w:type="paragraph" w:customStyle="1" w:styleId="004">
    <w:name w:val="004"/>
    <w:basedOn w:val="Normal"/>
    <w:uiPriority w:val="99"/>
    <w:qFormat/>
    <w:rsid w:val="00FF6666"/>
    <w:pPr>
      <w:tabs>
        <w:tab w:val="left" w:pos="360"/>
      </w:tabs>
      <w:spacing w:before="120" w:line="360" w:lineRule="auto"/>
      <w:jc w:val="both"/>
    </w:pPr>
    <w:rPr>
      <w:rFonts w:ascii="Times New Roman" w:hAnsi="Times New Roman" w:cs="Times New Roman"/>
      <w:b/>
      <w:i/>
      <w:color w:val="auto"/>
      <w:szCs w:val="26"/>
      <w:lang w:val="af-ZA"/>
    </w:rPr>
  </w:style>
  <w:style w:type="numbering" w:styleId="111111">
    <w:name w:val="Outline List 2"/>
    <w:basedOn w:val="NoList"/>
    <w:unhideWhenUsed/>
    <w:rsid w:val="00FF6666"/>
    <w:pPr>
      <w:numPr>
        <w:numId w:val="2"/>
      </w:numPr>
    </w:pPr>
  </w:style>
  <w:style w:type="paragraph" w:customStyle="1" w:styleId="TableParagraph">
    <w:name w:val="Table Paragraph"/>
    <w:basedOn w:val="Normal"/>
    <w:uiPriority w:val="1"/>
    <w:qFormat/>
    <w:rsid w:val="00FF6666"/>
    <w:pPr>
      <w:widowControl w:val="0"/>
      <w:autoSpaceDE w:val="0"/>
      <w:autoSpaceDN w:val="0"/>
    </w:pPr>
    <w:rPr>
      <w:rFonts w:ascii="Times New Roman" w:hAnsi="Times New Roman" w:cs="Times New Roman"/>
      <w:color w:val="auto"/>
      <w:sz w:val="22"/>
      <w:szCs w:val="22"/>
    </w:rPr>
  </w:style>
  <w:style w:type="character" w:styleId="CommentReference">
    <w:name w:val="annotation reference"/>
    <w:uiPriority w:val="99"/>
    <w:unhideWhenUsed/>
    <w:rsid w:val="00FF6666"/>
    <w:rPr>
      <w:sz w:val="18"/>
      <w:szCs w:val="18"/>
    </w:rPr>
  </w:style>
  <w:style w:type="paragraph" w:styleId="CommentText">
    <w:name w:val="annotation text"/>
    <w:basedOn w:val="Normal"/>
    <w:link w:val="CommentTextChar"/>
    <w:uiPriority w:val="99"/>
    <w:unhideWhenUsed/>
    <w:rsid w:val="00FF6666"/>
    <w:pPr>
      <w:spacing w:after="200" w:line="276" w:lineRule="auto"/>
    </w:pPr>
    <w:rPr>
      <w:rFonts w:ascii="Calibri" w:hAnsi="Calibri" w:cs="Times New Roman"/>
      <w:color w:val="auto"/>
      <w:sz w:val="24"/>
    </w:rPr>
  </w:style>
  <w:style w:type="character" w:customStyle="1" w:styleId="CommentTextChar">
    <w:name w:val="Comment Text Char"/>
    <w:basedOn w:val="DefaultParagraphFont"/>
    <w:link w:val="CommentText"/>
    <w:uiPriority w:val="99"/>
    <w:rsid w:val="00FF6666"/>
    <w:rPr>
      <w:rFonts w:ascii="Calibri" w:hAnsi="Calibri"/>
      <w:sz w:val="24"/>
      <w:szCs w:val="24"/>
    </w:rPr>
  </w:style>
  <w:style w:type="paragraph" w:styleId="CommentSubject">
    <w:name w:val="annotation subject"/>
    <w:basedOn w:val="CommentText"/>
    <w:next w:val="CommentText"/>
    <w:link w:val="CommentSubjectChar"/>
    <w:uiPriority w:val="99"/>
    <w:rsid w:val="00FF6666"/>
    <w:rPr>
      <w:b/>
      <w:bCs/>
      <w:sz w:val="20"/>
      <w:szCs w:val="20"/>
    </w:rPr>
  </w:style>
  <w:style w:type="character" w:customStyle="1" w:styleId="CommentSubjectChar">
    <w:name w:val="Comment Subject Char"/>
    <w:basedOn w:val="CommentTextChar"/>
    <w:link w:val="CommentSubject"/>
    <w:uiPriority w:val="99"/>
    <w:rsid w:val="00FF6666"/>
    <w:rPr>
      <w:rFonts w:ascii="Calibri" w:hAnsi="Calibri"/>
      <w:b/>
      <w:bCs/>
      <w:sz w:val="24"/>
      <w:szCs w:val="24"/>
    </w:rPr>
  </w:style>
  <w:style w:type="paragraph" w:styleId="TOC5">
    <w:name w:val="toc 5"/>
    <w:basedOn w:val="Normal"/>
    <w:next w:val="Normal"/>
    <w:autoRedefine/>
    <w:uiPriority w:val="39"/>
    <w:unhideWhenUsed/>
    <w:rsid w:val="00EF52B2"/>
    <w:pPr>
      <w:spacing w:after="100" w:line="278" w:lineRule="auto"/>
      <w:ind w:left="960"/>
    </w:pPr>
    <w:rPr>
      <w:rFonts w:asciiTheme="minorHAnsi" w:eastAsiaTheme="minorEastAsia" w:hAnsiTheme="minorHAnsi" w:cstheme="minorBidi"/>
      <w:color w:val="auto"/>
      <w:kern w:val="2"/>
      <w:sz w:val="24"/>
      <w14:ligatures w14:val="standardContextual"/>
    </w:rPr>
  </w:style>
  <w:style w:type="paragraph" w:styleId="TOC6">
    <w:name w:val="toc 6"/>
    <w:basedOn w:val="Normal"/>
    <w:next w:val="Normal"/>
    <w:autoRedefine/>
    <w:uiPriority w:val="39"/>
    <w:unhideWhenUsed/>
    <w:rsid w:val="00EF52B2"/>
    <w:pPr>
      <w:spacing w:after="100" w:line="278" w:lineRule="auto"/>
      <w:ind w:left="1200"/>
    </w:pPr>
    <w:rPr>
      <w:rFonts w:asciiTheme="minorHAnsi" w:eastAsiaTheme="minorEastAsia" w:hAnsiTheme="minorHAnsi" w:cstheme="minorBidi"/>
      <w:color w:val="auto"/>
      <w:kern w:val="2"/>
      <w:sz w:val="24"/>
      <w14:ligatures w14:val="standardContextual"/>
    </w:rPr>
  </w:style>
  <w:style w:type="paragraph" w:styleId="TOC7">
    <w:name w:val="toc 7"/>
    <w:basedOn w:val="Normal"/>
    <w:next w:val="Normal"/>
    <w:autoRedefine/>
    <w:uiPriority w:val="39"/>
    <w:unhideWhenUsed/>
    <w:rsid w:val="00EF52B2"/>
    <w:pPr>
      <w:spacing w:after="100" w:line="278" w:lineRule="auto"/>
      <w:ind w:left="1440"/>
    </w:pPr>
    <w:rPr>
      <w:rFonts w:asciiTheme="minorHAnsi" w:eastAsiaTheme="minorEastAsia" w:hAnsiTheme="minorHAnsi" w:cstheme="minorBidi"/>
      <w:color w:val="auto"/>
      <w:kern w:val="2"/>
      <w:sz w:val="24"/>
      <w14:ligatures w14:val="standardContextual"/>
    </w:rPr>
  </w:style>
  <w:style w:type="paragraph" w:styleId="TOC8">
    <w:name w:val="toc 8"/>
    <w:basedOn w:val="Normal"/>
    <w:next w:val="Normal"/>
    <w:autoRedefine/>
    <w:uiPriority w:val="39"/>
    <w:unhideWhenUsed/>
    <w:rsid w:val="00EF52B2"/>
    <w:pPr>
      <w:spacing w:after="100" w:line="278" w:lineRule="auto"/>
      <w:ind w:left="1680"/>
    </w:pPr>
    <w:rPr>
      <w:rFonts w:asciiTheme="minorHAnsi" w:eastAsiaTheme="minorEastAsia" w:hAnsiTheme="minorHAnsi" w:cstheme="minorBidi"/>
      <w:color w:val="auto"/>
      <w:kern w:val="2"/>
      <w:sz w:val="24"/>
      <w14:ligatures w14:val="standardContextual"/>
    </w:rPr>
  </w:style>
  <w:style w:type="paragraph" w:styleId="TOC9">
    <w:name w:val="toc 9"/>
    <w:basedOn w:val="Normal"/>
    <w:next w:val="Normal"/>
    <w:autoRedefine/>
    <w:uiPriority w:val="39"/>
    <w:unhideWhenUsed/>
    <w:rsid w:val="00EF52B2"/>
    <w:pPr>
      <w:spacing w:after="100" w:line="278" w:lineRule="auto"/>
      <w:ind w:left="1920"/>
    </w:pPr>
    <w:rPr>
      <w:rFonts w:asciiTheme="minorHAnsi" w:eastAsiaTheme="minorEastAsia" w:hAnsiTheme="minorHAnsi" w:cstheme="minorBidi"/>
      <w:color w:val="auto"/>
      <w:kern w:val="2"/>
      <w:sz w:val="24"/>
      <w14:ligatures w14:val="standardContextual"/>
    </w:rPr>
  </w:style>
  <w:style w:type="character" w:customStyle="1" w:styleId="negrita">
    <w:name w:val="negrita"/>
    <w:basedOn w:val="DefaultParagraphFont"/>
    <w:rsid w:val="002542E7"/>
  </w:style>
  <w:style w:type="paragraph" w:styleId="IntenseQuote">
    <w:name w:val="Intense Quote"/>
    <w:basedOn w:val="Normal"/>
    <w:next w:val="Normal"/>
    <w:link w:val="IntenseQuoteChar"/>
    <w:uiPriority w:val="30"/>
    <w:qFormat/>
    <w:rsid w:val="002542E7"/>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2542E7"/>
    <w:rPr>
      <w:rFonts w:ascii="Arial" w:hAnsi="Arial" w:cs="Arial"/>
      <w:i/>
      <w:iCs/>
      <w:color w:val="2F5496"/>
      <w:sz w:val="26"/>
      <w:szCs w:val="24"/>
    </w:rPr>
  </w:style>
  <w:style w:type="paragraph" w:styleId="Subtitle">
    <w:name w:val="Subtitle"/>
    <w:basedOn w:val="Normal"/>
    <w:next w:val="Normal"/>
    <w:link w:val="SubtitleChar"/>
    <w:qFormat/>
    <w:rsid w:val="00BD1E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BD1E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1EC5"/>
    <w:pPr>
      <w:spacing w:before="160"/>
      <w:jc w:val="center"/>
    </w:pPr>
    <w:rPr>
      <w:i/>
      <w:iCs/>
      <w:color w:val="404040" w:themeColor="text1" w:themeTint="BF"/>
    </w:rPr>
  </w:style>
  <w:style w:type="character" w:customStyle="1" w:styleId="QuoteChar">
    <w:name w:val="Quote Char"/>
    <w:basedOn w:val="DefaultParagraphFont"/>
    <w:link w:val="Quote"/>
    <w:uiPriority w:val="29"/>
    <w:rsid w:val="00BD1EC5"/>
    <w:rPr>
      <w:rFonts w:ascii="Arial" w:hAnsi="Arial" w:cs="Arial"/>
      <w:i/>
      <w:iCs/>
      <w:color w:val="404040" w:themeColor="text1" w:themeTint="BF"/>
      <w:sz w:val="26"/>
      <w:szCs w:val="24"/>
    </w:rPr>
  </w:style>
  <w:style w:type="character" w:styleId="IntenseEmphasis">
    <w:name w:val="Intense Emphasis"/>
    <w:basedOn w:val="DefaultParagraphFont"/>
    <w:uiPriority w:val="21"/>
    <w:qFormat/>
    <w:rsid w:val="00BD1EC5"/>
    <w:rPr>
      <w:i/>
      <w:iCs/>
      <w:color w:val="2F5496" w:themeColor="accent1" w:themeShade="BF"/>
    </w:rPr>
  </w:style>
  <w:style w:type="character" w:styleId="IntenseReference">
    <w:name w:val="Intense Reference"/>
    <w:basedOn w:val="DefaultParagraphFont"/>
    <w:uiPriority w:val="32"/>
    <w:qFormat/>
    <w:rsid w:val="00BD1EC5"/>
    <w:rPr>
      <w:b/>
      <w:bCs/>
      <w:smallCaps/>
      <w:color w:val="2F5496" w:themeColor="accent1" w:themeShade="BF"/>
      <w:spacing w:val="5"/>
    </w:rPr>
  </w:style>
  <w:style w:type="character" w:styleId="LineNumber">
    <w:name w:val="line number"/>
    <w:basedOn w:val="DefaultParagraphFont"/>
    <w:rsid w:val="00144CE5"/>
  </w:style>
  <w:style w:type="paragraph" w:customStyle="1" w:styleId="11">
    <w:name w:val="1.1"/>
    <w:basedOn w:val="Normal"/>
    <w:link w:val="11Char"/>
    <w:qFormat/>
    <w:rsid w:val="00896CF4"/>
    <w:pPr>
      <w:spacing w:before="120" w:after="120" w:line="360" w:lineRule="auto"/>
      <w:jc w:val="both"/>
    </w:pPr>
    <w:rPr>
      <w:rFonts w:ascii="Times New Roman" w:eastAsiaTheme="minorHAnsi" w:hAnsi="Times New Roman" w:cs="Times New Roman"/>
      <w:b/>
      <w:color w:val="FF0000"/>
      <w:szCs w:val="26"/>
      <w:lang w:val="vi-VN"/>
    </w:rPr>
  </w:style>
  <w:style w:type="character" w:customStyle="1" w:styleId="chuongChar">
    <w:name w:val="chuong Char"/>
    <w:link w:val="chuong"/>
    <w:locked/>
    <w:rsid w:val="00896CF4"/>
    <w:rPr>
      <w:b/>
      <w:sz w:val="32"/>
      <w:szCs w:val="32"/>
    </w:rPr>
  </w:style>
  <w:style w:type="paragraph" w:customStyle="1" w:styleId="chuong">
    <w:name w:val="chuong"/>
    <w:basedOn w:val="Normal"/>
    <w:link w:val="chuongChar"/>
    <w:qFormat/>
    <w:rsid w:val="00896CF4"/>
    <w:pPr>
      <w:numPr>
        <w:numId w:val="3"/>
      </w:numPr>
      <w:spacing w:after="200" w:line="360" w:lineRule="auto"/>
      <w:jc w:val="center"/>
      <w:outlineLvl w:val="0"/>
    </w:pPr>
    <w:rPr>
      <w:rFonts w:ascii="Times New Roman" w:hAnsi="Times New Roman" w:cs="Times New Roman"/>
      <w:b/>
      <w:color w:val="auto"/>
      <w:sz w:val="32"/>
      <w:szCs w:val="32"/>
    </w:rPr>
  </w:style>
  <w:style w:type="character" w:customStyle="1" w:styleId="cap3Char">
    <w:name w:val="cap3 Char"/>
    <w:link w:val="cap3"/>
    <w:locked/>
    <w:rsid w:val="00896CF4"/>
    <w:rPr>
      <w:b/>
      <w:sz w:val="26"/>
      <w:szCs w:val="26"/>
    </w:rPr>
  </w:style>
  <w:style w:type="paragraph" w:customStyle="1" w:styleId="cap3">
    <w:name w:val="cap3"/>
    <w:basedOn w:val="Normal"/>
    <w:link w:val="cap3Char"/>
    <w:autoRedefine/>
    <w:qFormat/>
    <w:rsid w:val="00896CF4"/>
    <w:pPr>
      <w:spacing w:after="200" w:line="360" w:lineRule="auto"/>
      <w:jc w:val="both"/>
      <w:outlineLvl w:val="1"/>
    </w:pPr>
    <w:rPr>
      <w:rFonts w:ascii="Times New Roman" w:hAnsi="Times New Roman" w:cs="Times New Roman"/>
      <w:b/>
      <w:color w:val="auto"/>
      <w:szCs w:val="26"/>
    </w:rPr>
  </w:style>
  <w:style w:type="character" w:customStyle="1" w:styleId="m1Char">
    <w:name w:val="m1 Char"/>
    <w:link w:val="m1"/>
    <w:locked/>
    <w:rsid w:val="00896CF4"/>
    <w:rPr>
      <w:color w:val="000000" w:themeColor="text1"/>
      <w:sz w:val="26"/>
      <w:szCs w:val="26"/>
    </w:rPr>
  </w:style>
  <w:style w:type="paragraph" w:customStyle="1" w:styleId="m1">
    <w:name w:val="m1"/>
    <w:basedOn w:val="Normal"/>
    <w:link w:val="m1Char"/>
    <w:autoRedefine/>
    <w:qFormat/>
    <w:rsid w:val="00896CF4"/>
    <w:pPr>
      <w:spacing w:after="200" w:line="360" w:lineRule="auto"/>
      <w:jc w:val="both"/>
    </w:pPr>
    <w:rPr>
      <w:rFonts w:ascii="Times New Roman" w:hAnsi="Times New Roman" w:cs="Times New Roman"/>
      <w:color w:val="000000" w:themeColor="text1"/>
      <w:szCs w:val="26"/>
    </w:rPr>
  </w:style>
  <w:style w:type="character" w:customStyle="1" w:styleId="NormalWebChar">
    <w:name w:val="Normal (Web) Char"/>
    <w:link w:val="NormalWeb"/>
    <w:uiPriority w:val="99"/>
    <w:qFormat/>
    <w:locked/>
    <w:rsid w:val="00896CF4"/>
    <w:rPr>
      <w:sz w:val="24"/>
      <w:szCs w:val="24"/>
    </w:rPr>
  </w:style>
  <w:style w:type="paragraph" w:customStyle="1" w:styleId="Binhthuong">
    <w:name w:val="Binh thuong"/>
    <w:basedOn w:val="Normal"/>
    <w:link w:val="BinhthuongChar"/>
    <w:qFormat/>
    <w:rsid w:val="00896CF4"/>
    <w:pPr>
      <w:spacing w:before="120" w:after="120" w:line="360" w:lineRule="auto"/>
      <w:ind w:firstLine="720"/>
      <w:jc w:val="both"/>
    </w:pPr>
    <w:rPr>
      <w:rFonts w:ascii="Times New Roman" w:eastAsiaTheme="minorHAnsi" w:hAnsi="Times New Roman" w:cs="Times New Roman"/>
      <w:color w:val="auto"/>
      <w:szCs w:val="26"/>
    </w:rPr>
  </w:style>
  <w:style w:type="character" w:customStyle="1" w:styleId="BinhthuongChar">
    <w:name w:val="Binh thuong Char"/>
    <w:basedOn w:val="DefaultParagraphFont"/>
    <w:link w:val="Binhthuong"/>
    <w:qFormat/>
    <w:rsid w:val="00896CF4"/>
    <w:rPr>
      <w:rFonts w:eastAsiaTheme="minorHAnsi"/>
      <w:sz w:val="26"/>
      <w:szCs w:val="26"/>
    </w:rPr>
  </w:style>
  <w:style w:type="paragraph" w:customStyle="1" w:styleId="Style1">
    <w:name w:val="Style1"/>
    <w:basedOn w:val="ListParagraph"/>
    <w:qFormat/>
    <w:rsid w:val="00896CF4"/>
    <w:pPr>
      <w:numPr>
        <w:numId w:val="4"/>
      </w:numPr>
      <w:spacing w:before="120" w:after="120" w:line="360" w:lineRule="auto"/>
      <w:ind w:left="720" w:hanging="720"/>
    </w:pPr>
    <w:rPr>
      <w:rFonts w:eastAsiaTheme="minorHAnsi"/>
      <w:b/>
      <w:sz w:val="26"/>
      <w:szCs w:val="26"/>
    </w:rPr>
  </w:style>
  <w:style w:type="paragraph" w:customStyle="1" w:styleId="Style2">
    <w:name w:val="Style2"/>
    <w:basedOn w:val="Style1"/>
    <w:link w:val="Style2Char"/>
    <w:qFormat/>
    <w:rsid w:val="00896CF4"/>
    <w:pPr>
      <w:numPr>
        <w:ilvl w:val="1"/>
      </w:numPr>
      <w:ind w:left="788" w:hanging="431"/>
    </w:pPr>
  </w:style>
  <w:style w:type="character" w:customStyle="1" w:styleId="Style2Char">
    <w:name w:val="Style2 Char"/>
    <w:basedOn w:val="DefaultParagraphFont"/>
    <w:link w:val="Style2"/>
    <w:rsid w:val="00896CF4"/>
    <w:rPr>
      <w:rFonts w:eastAsiaTheme="minorHAnsi"/>
      <w:b/>
      <w:sz w:val="26"/>
      <w:szCs w:val="26"/>
    </w:rPr>
  </w:style>
  <w:style w:type="paragraph" w:customStyle="1" w:styleId="Style3">
    <w:name w:val="Style3"/>
    <w:basedOn w:val="Style2"/>
    <w:link w:val="Style3Char"/>
    <w:qFormat/>
    <w:rsid w:val="00896CF4"/>
    <w:pPr>
      <w:numPr>
        <w:ilvl w:val="2"/>
      </w:numPr>
    </w:pPr>
  </w:style>
  <w:style w:type="character" w:customStyle="1" w:styleId="Style3Char">
    <w:name w:val="Style3 Char"/>
    <w:basedOn w:val="Style2Char"/>
    <w:link w:val="Style3"/>
    <w:rsid w:val="00896CF4"/>
    <w:rPr>
      <w:rFonts w:eastAsiaTheme="minorHAnsi"/>
      <w:b/>
      <w:sz w:val="26"/>
      <w:szCs w:val="26"/>
    </w:rPr>
  </w:style>
  <w:style w:type="paragraph" w:customStyle="1" w:styleId="Style4">
    <w:name w:val="Style4"/>
    <w:basedOn w:val="Style3"/>
    <w:link w:val="Style4Char"/>
    <w:qFormat/>
    <w:rsid w:val="00896CF4"/>
    <w:pPr>
      <w:numPr>
        <w:ilvl w:val="3"/>
      </w:numPr>
    </w:pPr>
  </w:style>
  <w:style w:type="paragraph" w:customStyle="1" w:styleId="Sodo">
    <w:name w:val="So do"/>
    <w:basedOn w:val="Binhthuong"/>
    <w:link w:val="SodoChar"/>
    <w:qFormat/>
    <w:rsid w:val="00896CF4"/>
    <w:pPr>
      <w:jc w:val="center"/>
    </w:pPr>
  </w:style>
  <w:style w:type="character" w:customStyle="1" w:styleId="SodoChar">
    <w:name w:val="So do Char"/>
    <w:basedOn w:val="BinhthuongChar"/>
    <w:link w:val="Sodo"/>
    <w:rsid w:val="00896CF4"/>
    <w:rPr>
      <w:rFonts w:eastAsiaTheme="minorHAnsi"/>
      <w:sz w:val="26"/>
      <w:szCs w:val="26"/>
    </w:rPr>
  </w:style>
  <w:style w:type="paragraph" w:customStyle="1" w:styleId="Bang">
    <w:name w:val="Bang"/>
    <w:basedOn w:val="Binhthuong"/>
    <w:link w:val="BangChar"/>
    <w:qFormat/>
    <w:rsid w:val="00896CF4"/>
    <w:pPr>
      <w:ind w:firstLine="0"/>
    </w:pPr>
    <w:rPr>
      <w:b/>
    </w:rPr>
  </w:style>
  <w:style w:type="character" w:customStyle="1" w:styleId="BangChar">
    <w:name w:val="Bang Char"/>
    <w:basedOn w:val="BinhthuongChar"/>
    <w:link w:val="Bang"/>
    <w:rsid w:val="00896CF4"/>
    <w:rPr>
      <w:rFonts w:eastAsiaTheme="minorHAnsi"/>
      <w:b/>
      <w:sz w:val="26"/>
      <w:szCs w:val="26"/>
    </w:rPr>
  </w:style>
  <w:style w:type="paragraph" w:customStyle="1" w:styleId="Style10">
    <w:name w:val="Style1.0"/>
    <w:basedOn w:val="Normal"/>
    <w:link w:val="Style10Char"/>
    <w:qFormat/>
    <w:rsid w:val="00896CF4"/>
    <w:pPr>
      <w:spacing w:before="120" w:after="120" w:line="360" w:lineRule="auto"/>
    </w:pPr>
    <w:rPr>
      <w:rFonts w:ascii="Times New Roman" w:eastAsiaTheme="minorHAnsi" w:hAnsi="Times New Roman" w:cs="Times New Roman"/>
      <w:b/>
      <w:color w:val="auto"/>
      <w:szCs w:val="26"/>
    </w:rPr>
  </w:style>
  <w:style w:type="character" w:customStyle="1" w:styleId="Style10Char">
    <w:name w:val="Style1.0 Char"/>
    <w:basedOn w:val="DefaultParagraphFont"/>
    <w:link w:val="Style10"/>
    <w:rsid w:val="00896CF4"/>
    <w:rPr>
      <w:rFonts w:eastAsiaTheme="minorHAnsi"/>
      <w:b/>
      <w:sz w:val="26"/>
      <w:szCs w:val="26"/>
    </w:rPr>
  </w:style>
  <w:style w:type="character" w:customStyle="1" w:styleId="Style4Char">
    <w:name w:val="Style4 Char"/>
    <w:basedOn w:val="Style3Char"/>
    <w:link w:val="Style4"/>
    <w:rsid w:val="00896CF4"/>
    <w:rPr>
      <w:rFonts w:eastAsiaTheme="minorHAnsi"/>
      <w:b/>
      <w:sz w:val="26"/>
      <w:szCs w:val="26"/>
    </w:rPr>
  </w:style>
  <w:style w:type="character" w:customStyle="1" w:styleId="BalloonTextChar1">
    <w:name w:val="Balloon Text Char1"/>
    <w:basedOn w:val="DefaultParagraphFont"/>
    <w:uiPriority w:val="99"/>
    <w:semiHidden/>
    <w:rsid w:val="00896CF4"/>
    <w:rPr>
      <w:rFonts w:ascii="Tahoma" w:eastAsia="Calibri" w:hAnsi="Tahoma" w:cs="Tahoma"/>
      <w:sz w:val="16"/>
      <w:szCs w:val="16"/>
      <w:lang w:val="vi-VN"/>
    </w:rPr>
  </w:style>
  <w:style w:type="paragraph" w:styleId="BodyTextIndent">
    <w:name w:val="Body Text Indent"/>
    <w:basedOn w:val="Normal"/>
    <w:link w:val="BodyTextIndentChar"/>
    <w:rsid w:val="00896CF4"/>
    <w:pPr>
      <w:spacing w:before="240" w:line="280" w:lineRule="atLeast"/>
      <w:ind w:firstLine="567"/>
      <w:jc w:val="both"/>
    </w:pPr>
    <w:rPr>
      <w:rFonts w:ascii="Times New Roman" w:eastAsia="SimSun" w:hAnsi="Times New Roman" w:cs="Times New Roman"/>
      <w:color w:val="auto"/>
      <w:sz w:val="28"/>
    </w:rPr>
  </w:style>
  <w:style w:type="character" w:customStyle="1" w:styleId="BodyTextIndentChar">
    <w:name w:val="Body Text Indent Char"/>
    <w:basedOn w:val="DefaultParagraphFont"/>
    <w:link w:val="BodyTextIndent"/>
    <w:rsid w:val="00896CF4"/>
    <w:rPr>
      <w:rFonts w:eastAsia="SimSun"/>
      <w:sz w:val="28"/>
      <w:szCs w:val="24"/>
    </w:rPr>
  </w:style>
  <w:style w:type="character" w:customStyle="1" w:styleId="Bodytext0">
    <w:name w:val="Body text_"/>
    <w:basedOn w:val="DefaultParagraphFont"/>
    <w:link w:val="Bodytext1"/>
    <w:rsid w:val="00896CF4"/>
    <w:rPr>
      <w:sz w:val="25"/>
      <w:szCs w:val="25"/>
      <w:shd w:val="clear" w:color="auto" w:fill="FFFFFF"/>
    </w:rPr>
  </w:style>
  <w:style w:type="paragraph" w:customStyle="1" w:styleId="Bodytext1">
    <w:name w:val="Body text1"/>
    <w:basedOn w:val="Normal"/>
    <w:link w:val="Bodytext0"/>
    <w:rsid w:val="00896CF4"/>
    <w:pPr>
      <w:widowControl w:val="0"/>
      <w:shd w:val="clear" w:color="auto" w:fill="FFFFFF"/>
      <w:spacing w:line="298" w:lineRule="exact"/>
      <w:ind w:hanging="360"/>
      <w:jc w:val="center"/>
    </w:pPr>
    <w:rPr>
      <w:rFonts w:ascii="Times New Roman" w:hAnsi="Times New Roman" w:cs="Times New Roman"/>
      <w:color w:val="auto"/>
      <w:sz w:val="25"/>
      <w:szCs w:val="25"/>
    </w:rPr>
  </w:style>
  <w:style w:type="character" w:customStyle="1" w:styleId="BodytextItalic">
    <w:name w:val="Body text + Italic"/>
    <w:basedOn w:val="Bodytext0"/>
    <w:rsid w:val="00896CF4"/>
    <w:rPr>
      <w:i/>
      <w:iCs/>
      <w:sz w:val="25"/>
      <w:szCs w:val="25"/>
      <w:shd w:val="clear" w:color="auto" w:fill="FFFFFF"/>
      <w:lang w:bidi="ar-SA"/>
    </w:rPr>
  </w:style>
  <w:style w:type="character" w:customStyle="1" w:styleId="BodyText10">
    <w:name w:val="Body Text1"/>
    <w:basedOn w:val="Bodytext0"/>
    <w:rsid w:val="00896CF4"/>
    <w:rPr>
      <w:sz w:val="25"/>
      <w:szCs w:val="25"/>
      <w:u w:val="single"/>
      <w:shd w:val="clear" w:color="auto" w:fill="FFFFFF"/>
      <w:lang w:bidi="ar-SA"/>
    </w:rPr>
  </w:style>
  <w:style w:type="character" w:customStyle="1" w:styleId="Heading40">
    <w:name w:val="Heading #4_"/>
    <w:basedOn w:val="DefaultParagraphFont"/>
    <w:link w:val="Heading41"/>
    <w:rsid w:val="00896CF4"/>
    <w:rPr>
      <w:sz w:val="25"/>
      <w:szCs w:val="25"/>
      <w:shd w:val="clear" w:color="auto" w:fill="FFFFFF"/>
    </w:rPr>
  </w:style>
  <w:style w:type="paragraph" w:customStyle="1" w:styleId="Heading41">
    <w:name w:val="Heading #4"/>
    <w:basedOn w:val="Normal"/>
    <w:link w:val="Heading40"/>
    <w:rsid w:val="00896CF4"/>
    <w:pPr>
      <w:widowControl w:val="0"/>
      <w:shd w:val="clear" w:color="auto" w:fill="FFFFFF"/>
      <w:spacing w:after="360" w:line="240" w:lineRule="atLeast"/>
      <w:ind w:hanging="360"/>
      <w:jc w:val="center"/>
      <w:outlineLvl w:val="3"/>
    </w:pPr>
    <w:rPr>
      <w:rFonts w:ascii="Times New Roman" w:hAnsi="Times New Roman" w:cs="Times New Roman"/>
      <w:color w:val="auto"/>
      <w:sz w:val="25"/>
      <w:szCs w:val="25"/>
    </w:rPr>
  </w:style>
  <w:style w:type="paragraph" w:customStyle="1" w:styleId="sectiontitle">
    <w:name w:val="sectiontitle"/>
    <w:basedOn w:val="Normal"/>
    <w:rsid w:val="00896CF4"/>
    <w:pPr>
      <w:spacing w:before="100" w:beforeAutospacing="1" w:after="100" w:afterAutospacing="1"/>
    </w:pPr>
    <w:rPr>
      <w:rFonts w:ascii="Times New Roman" w:hAnsi="Times New Roman" w:cs="Times New Roman"/>
      <w:color w:val="auto"/>
      <w:sz w:val="24"/>
    </w:rPr>
  </w:style>
  <w:style w:type="paragraph" w:customStyle="1" w:styleId="Bng">
    <w:name w:val="Bảng"/>
    <w:basedOn w:val="Normal"/>
    <w:autoRedefine/>
    <w:qFormat/>
    <w:rsid w:val="00896CF4"/>
    <w:pPr>
      <w:spacing w:line="360" w:lineRule="auto"/>
      <w:jc w:val="center"/>
      <w:outlineLvl w:val="0"/>
    </w:pPr>
    <w:rPr>
      <w:rFonts w:ascii="Times New Roman" w:hAnsi="Times New Roman" w:cs="Times New Roman"/>
      <w:b/>
      <w:color w:val="auto"/>
      <w:szCs w:val="26"/>
      <w:lang w:val="vi-VN" w:eastAsia="vi-VN"/>
    </w:rPr>
  </w:style>
  <w:style w:type="paragraph" w:customStyle="1" w:styleId="Body">
    <w:name w:val="Body"/>
    <w:rsid w:val="00896CF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vi-VN" w:eastAsia="vi-VN"/>
    </w:rPr>
  </w:style>
  <w:style w:type="paragraph" w:customStyle="1" w:styleId="chnh">
    <w:name w:val="chính"/>
    <w:basedOn w:val="Normal"/>
    <w:link w:val="chnhChar"/>
    <w:qFormat/>
    <w:rsid w:val="00896CF4"/>
    <w:pPr>
      <w:tabs>
        <w:tab w:val="right" w:leader="dot" w:pos="9129"/>
        <w:tab w:val="right" w:leader="dot" w:pos="9526"/>
      </w:tabs>
      <w:spacing w:before="120" w:line="360" w:lineRule="auto"/>
      <w:jc w:val="center"/>
    </w:pPr>
    <w:rPr>
      <w:rFonts w:ascii="Times New Roman" w:eastAsiaTheme="minorEastAsia" w:hAnsi="Times New Roman" w:cs="Times New Roman"/>
      <w:b/>
      <w:color w:val="auto"/>
      <w:sz w:val="32"/>
      <w:szCs w:val="32"/>
    </w:rPr>
  </w:style>
  <w:style w:type="character" w:customStyle="1" w:styleId="chnhChar">
    <w:name w:val="chính Char"/>
    <w:basedOn w:val="DefaultParagraphFont"/>
    <w:link w:val="chnh"/>
    <w:rsid w:val="00896CF4"/>
    <w:rPr>
      <w:rFonts w:eastAsiaTheme="minorEastAsia"/>
      <w:b/>
      <w:sz w:val="32"/>
      <w:szCs w:val="32"/>
    </w:rPr>
  </w:style>
  <w:style w:type="paragraph" w:customStyle="1" w:styleId="chng">
    <w:name w:val="chương"/>
    <w:basedOn w:val="ListParagraph"/>
    <w:qFormat/>
    <w:rsid w:val="00896CF4"/>
    <w:pPr>
      <w:spacing w:line="360" w:lineRule="auto"/>
      <w:ind w:left="357" w:hanging="357"/>
      <w:contextualSpacing/>
      <w:jc w:val="center"/>
    </w:pPr>
    <w:rPr>
      <w:b/>
      <w:bCs/>
      <w:sz w:val="26"/>
      <w:szCs w:val="26"/>
      <w:lang w:val="pt-BR"/>
    </w:rPr>
  </w:style>
  <w:style w:type="character" w:customStyle="1" w:styleId="11Char">
    <w:name w:val="1.1 Char"/>
    <w:basedOn w:val="DefaultParagraphFont"/>
    <w:link w:val="11"/>
    <w:qFormat/>
    <w:rsid w:val="00896CF4"/>
    <w:rPr>
      <w:rFonts w:eastAsiaTheme="minorHAnsi"/>
      <w:b/>
      <w:color w:val="FF0000"/>
      <w:sz w:val="26"/>
      <w:szCs w:val="26"/>
      <w:lang w:val="vi-VN"/>
    </w:rPr>
  </w:style>
  <w:style w:type="paragraph" w:customStyle="1" w:styleId="111">
    <w:name w:val="1.1.1"/>
    <w:basedOn w:val="11"/>
    <w:link w:val="111Char"/>
    <w:qFormat/>
    <w:rsid w:val="00896CF4"/>
    <w:pPr>
      <w:numPr>
        <w:ilvl w:val="2"/>
      </w:numPr>
      <w:spacing w:before="0" w:after="0"/>
      <w:ind w:left="357" w:hanging="357"/>
      <w:contextualSpacing/>
      <w:jc w:val="left"/>
    </w:pPr>
    <w:rPr>
      <w:bCs/>
      <w:lang w:val="pt-BR"/>
    </w:rPr>
  </w:style>
  <w:style w:type="character" w:customStyle="1" w:styleId="111Char">
    <w:name w:val="1.1.1 Char"/>
    <w:basedOn w:val="11Char"/>
    <w:link w:val="111"/>
    <w:rsid w:val="00896CF4"/>
    <w:rPr>
      <w:rFonts w:eastAsiaTheme="minorHAnsi"/>
      <w:b/>
      <w:bCs/>
      <w:color w:val="FF0000"/>
      <w:sz w:val="26"/>
      <w:szCs w:val="26"/>
      <w:lang w:val="pt-BR"/>
    </w:rPr>
  </w:style>
  <w:style w:type="paragraph" w:customStyle="1" w:styleId="1111">
    <w:name w:val="1.1.1.1"/>
    <w:basedOn w:val="111"/>
    <w:qFormat/>
    <w:rsid w:val="00896CF4"/>
    <w:pPr>
      <w:numPr>
        <w:ilvl w:val="3"/>
      </w:numPr>
      <w:tabs>
        <w:tab w:val="num" w:pos="360"/>
      </w:tabs>
      <w:ind w:left="357" w:hanging="357"/>
    </w:pPr>
  </w:style>
  <w:style w:type="paragraph" w:customStyle="1" w:styleId="Danhmucbang">
    <w:name w:val="Danh mục bảng"/>
    <w:basedOn w:val="Normal"/>
    <w:qFormat/>
    <w:rsid w:val="00896CF4"/>
    <w:pPr>
      <w:spacing w:after="200" w:line="276" w:lineRule="auto"/>
    </w:pPr>
    <w:rPr>
      <w:rFonts w:ascii="Times New Roman" w:eastAsia="Calibri" w:hAnsi="Times New Roman" w:cs="Times New Roman"/>
      <w:bCs/>
      <w:color w:val="auto"/>
      <w:szCs w:val="20"/>
    </w:rPr>
  </w:style>
  <w:style w:type="paragraph" w:customStyle="1" w:styleId="Hnh">
    <w:name w:val="Hình"/>
    <w:basedOn w:val="Normal"/>
    <w:autoRedefine/>
    <w:qFormat/>
    <w:rsid w:val="00896CF4"/>
    <w:pPr>
      <w:tabs>
        <w:tab w:val="left" w:pos="851"/>
      </w:tabs>
      <w:spacing w:line="360" w:lineRule="auto"/>
      <w:jc w:val="center"/>
      <w:outlineLvl w:val="0"/>
    </w:pPr>
    <w:rPr>
      <w:rFonts w:ascii="Times New Roman" w:hAnsi="Times New Roman" w:cs="Times New Roman"/>
      <w:b/>
      <w:color w:val="auto"/>
      <w:szCs w:val="26"/>
      <w:lang w:val="pt-BR"/>
    </w:rPr>
  </w:style>
  <w:style w:type="paragraph" w:customStyle="1" w:styleId="Q2">
    <w:name w:val="Q2"/>
    <w:basedOn w:val="Normal"/>
    <w:qFormat/>
    <w:rsid w:val="00896CF4"/>
    <w:rPr>
      <w:rFonts w:ascii="Times New Roman" w:hAnsi="Times New Roman" w:cs="Times New Roman"/>
      <w:color w:val="auto"/>
    </w:rPr>
  </w:style>
  <w:style w:type="paragraph" w:styleId="TableofFigures">
    <w:name w:val="table of figures"/>
    <w:basedOn w:val="Normal"/>
    <w:next w:val="Normal"/>
    <w:uiPriority w:val="99"/>
    <w:unhideWhenUsed/>
    <w:rsid w:val="00896CF4"/>
    <w:rPr>
      <w:rFonts w:asciiTheme="minorHAnsi" w:eastAsiaTheme="minorEastAsia" w:hAnsiTheme="minorHAnsi" w:cstheme="minorBidi"/>
      <w:color w:val="auto"/>
      <w:sz w:val="24"/>
    </w:rPr>
  </w:style>
  <w:style w:type="character" w:customStyle="1" w:styleId="HTMLPreformattedChar1">
    <w:name w:val="HTML Preformatted Char1"/>
    <w:basedOn w:val="DefaultParagraphFont"/>
    <w:uiPriority w:val="99"/>
    <w:semiHidden/>
    <w:rsid w:val="00896CF4"/>
    <w:rPr>
      <w:rFonts w:ascii="Consolas" w:hAnsi="Consolas" w:cs="Consolas"/>
      <w:sz w:val="20"/>
      <w:szCs w:val="20"/>
    </w:rPr>
  </w:style>
  <w:style w:type="character" w:customStyle="1" w:styleId="FontStyle13">
    <w:name w:val="Font Style13"/>
    <w:rsid w:val="00896CF4"/>
    <w:rPr>
      <w:rFonts w:ascii="Times New Roman" w:hAnsi="Times New Roman" w:cs="Times New Roman"/>
      <w:color w:val="000000"/>
      <w:sz w:val="24"/>
      <w:szCs w:val="24"/>
    </w:rPr>
  </w:style>
  <w:style w:type="paragraph" w:customStyle="1" w:styleId="Style6">
    <w:name w:val="Style6"/>
    <w:basedOn w:val="Normal"/>
    <w:rsid w:val="00896CF4"/>
    <w:pPr>
      <w:widowControl w:val="0"/>
      <w:autoSpaceDE w:val="0"/>
      <w:autoSpaceDN w:val="0"/>
      <w:adjustRightInd w:val="0"/>
      <w:spacing w:line="433" w:lineRule="exact"/>
      <w:ind w:firstLine="684"/>
      <w:jc w:val="both"/>
    </w:pPr>
    <w:rPr>
      <w:rFonts w:ascii="Times New Roman" w:hAnsi="Times New Roman" w:cs="Times New Roman"/>
      <w:color w:val="auto"/>
      <w:sz w:val="24"/>
    </w:rPr>
  </w:style>
  <w:style w:type="character" w:customStyle="1" w:styleId="Bodytext2">
    <w:name w:val="Body text (2)_"/>
    <w:link w:val="Bodytext21"/>
    <w:uiPriority w:val="99"/>
    <w:locked/>
    <w:rsid w:val="00896CF4"/>
    <w:rPr>
      <w:sz w:val="26"/>
      <w:szCs w:val="26"/>
      <w:shd w:val="clear" w:color="auto" w:fill="FFFFFF"/>
    </w:rPr>
  </w:style>
  <w:style w:type="paragraph" w:customStyle="1" w:styleId="Bodytext21">
    <w:name w:val="Body text (2)1"/>
    <w:basedOn w:val="Normal"/>
    <w:link w:val="Bodytext2"/>
    <w:uiPriority w:val="99"/>
    <w:rsid w:val="00896CF4"/>
    <w:pPr>
      <w:widowControl w:val="0"/>
      <w:shd w:val="clear" w:color="auto" w:fill="FFFFFF"/>
      <w:spacing w:before="120" w:after="240" w:line="446" w:lineRule="exact"/>
    </w:pPr>
    <w:rPr>
      <w:rFonts w:ascii="Times New Roman" w:hAnsi="Times New Roman" w:cs="Times New Roman"/>
      <w:color w:val="auto"/>
      <w:szCs w:val="26"/>
    </w:rPr>
  </w:style>
  <w:style w:type="numbering" w:customStyle="1" w:styleId="NoList1">
    <w:name w:val="No List1"/>
    <w:next w:val="NoList"/>
    <w:uiPriority w:val="99"/>
    <w:semiHidden/>
    <w:unhideWhenUsed/>
    <w:rsid w:val="00896CF4"/>
  </w:style>
  <w:style w:type="table" w:customStyle="1" w:styleId="TableGrid1">
    <w:name w:val="Table Grid1"/>
    <w:basedOn w:val="TableNormal"/>
    <w:next w:val="TableGrid"/>
    <w:uiPriority w:val="59"/>
    <w:rsid w:val="00896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96CF4"/>
  </w:style>
  <w:style w:type="numbering" w:customStyle="1" w:styleId="NoList3">
    <w:name w:val="No List3"/>
    <w:next w:val="NoList"/>
    <w:uiPriority w:val="99"/>
    <w:semiHidden/>
    <w:unhideWhenUsed/>
    <w:rsid w:val="00896CF4"/>
  </w:style>
  <w:style w:type="table" w:customStyle="1" w:styleId="TableGrid2">
    <w:name w:val="Table Grid2"/>
    <w:basedOn w:val="TableNormal"/>
    <w:next w:val="TableGrid"/>
    <w:uiPriority w:val="59"/>
    <w:rsid w:val="00896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96CF4"/>
    <w:pPr>
      <w:jc w:val="both"/>
    </w:pPr>
    <w:rPr>
      <w:rFonts w:eastAsia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96CF4"/>
    <w:rPr>
      <w:rFonts w:ascii="Aptos" w:eastAsiaTheme="minorHAnsi" w:hAnsi="Aptos"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Title">
    <w:name w:val="Els-Title"/>
    <w:next w:val="Normal"/>
    <w:autoRedefine/>
    <w:rsid w:val="00896CF4"/>
    <w:pPr>
      <w:suppressAutoHyphens/>
      <w:spacing w:after="240" w:line="360" w:lineRule="auto"/>
      <w:jc w:val="both"/>
    </w:pPr>
    <w:rPr>
      <w:rFonts w:eastAsia="MS Mincho"/>
      <w:color w:val="000000" w:themeColor="text1"/>
      <w:sz w:val="26"/>
      <w:szCs w:val="26"/>
      <w:lang w:eastAsia="ja-JP"/>
    </w:rPr>
  </w:style>
  <w:style w:type="paragraph" w:customStyle="1" w:styleId="papertitle">
    <w:name w:val="papertitle"/>
    <w:basedOn w:val="Normal"/>
    <w:next w:val="Normal"/>
    <w:rsid w:val="00896CF4"/>
    <w:pPr>
      <w:keepNext/>
      <w:keepLines/>
      <w:suppressAutoHyphens/>
      <w:overflowPunct w:val="0"/>
      <w:autoSpaceDE w:val="0"/>
      <w:autoSpaceDN w:val="0"/>
      <w:adjustRightInd w:val="0"/>
      <w:spacing w:after="480" w:line="360" w:lineRule="atLeast"/>
      <w:jc w:val="center"/>
      <w:textAlignment w:val="baseline"/>
    </w:pPr>
    <w:rPr>
      <w:rFonts w:ascii="Times New Roman" w:hAnsi="Times New Roman" w:cs="Times New Roman"/>
      <w:b/>
      <w:color w:val="auto"/>
      <w:sz w:val="28"/>
      <w:szCs w:val="20"/>
    </w:rPr>
  </w:style>
  <w:style w:type="character" w:customStyle="1" w:styleId="IntenseEmphasis1">
    <w:name w:val="Intense Emphasis1"/>
    <w:basedOn w:val="DefaultParagraphFont"/>
    <w:uiPriority w:val="21"/>
    <w:qFormat/>
    <w:rsid w:val="00896CF4"/>
    <w:rPr>
      <w:i/>
      <w:iCs/>
      <w:color w:val="2F5496"/>
    </w:rPr>
  </w:style>
  <w:style w:type="character" w:customStyle="1" w:styleId="ng-star-inserted1">
    <w:name w:val="ng-star-inserted1"/>
    <w:basedOn w:val="DefaultParagraphFont"/>
    <w:qFormat/>
    <w:rsid w:val="00896CF4"/>
  </w:style>
  <w:style w:type="paragraph" w:customStyle="1" w:styleId="isselectedend">
    <w:name w:val="isselectedend"/>
    <w:basedOn w:val="Normal"/>
    <w:rsid w:val="00886A6B"/>
    <w:pPr>
      <w:spacing w:before="100" w:beforeAutospacing="1" w:after="100" w:afterAutospacing="1"/>
    </w:pPr>
    <w:rPr>
      <w:rFonts w:ascii="Times New Roman" w:hAnsi="Times New Roman" w:cs="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991">
      <w:bodyDiv w:val="1"/>
      <w:marLeft w:val="0"/>
      <w:marRight w:val="0"/>
      <w:marTop w:val="0"/>
      <w:marBottom w:val="0"/>
      <w:divBdr>
        <w:top w:val="none" w:sz="0" w:space="0" w:color="auto"/>
        <w:left w:val="none" w:sz="0" w:space="0" w:color="auto"/>
        <w:bottom w:val="none" w:sz="0" w:space="0" w:color="auto"/>
        <w:right w:val="none" w:sz="0" w:space="0" w:color="auto"/>
      </w:divBdr>
    </w:div>
    <w:div w:id="4291885">
      <w:bodyDiv w:val="1"/>
      <w:marLeft w:val="0"/>
      <w:marRight w:val="0"/>
      <w:marTop w:val="0"/>
      <w:marBottom w:val="0"/>
      <w:divBdr>
        <w:top w:val="none" w:sz="0" w:space="0" w:color="auto"/>
        <w:left w:val="none" w:sz="0" w:space="0" w:color="auto"/>
        <w:bottom w:val="none" w:sz="0" w:space="0" w:color="auto"/>
        <w:right w:val="none" w:sz="0" w:space="0" w:color="auto"/>
      </w:divBdr>
    </w:div>
    <w:div w:id="75633476">
      <w:bodyDiv w:val="1"/>
      <w:marLeft w:val="0"/>
      <w:marRight w:val="0"/>
      <w:marTop w:val="0"/>
      <w:marBottom w:val="0"/>
      <w:divBdr>
        <w:top w:val="none" w:sz="0" w:space="0" w:color="auto"/>
        <w:left w:val="none" w:sz="0" w:space="0" w:color="auto"/>
        <w:bottom w:val="none" w:sz="0" w:space="0" w:color="auto"/>
        <w:right w:val="none" w:sz="0" w:space="0" w:color="auto"/>
      </w:divBdr>
    </w:div>
    <w:div w:id="134834646">
      <w:bodyDiv w:val="1"/>
      <w:marLeft w:val="0"/>
      <w:marRight w:val="0"/>
      <w:marTop w:val="0"/>
      <w:marBottom w:val="0"/>
      <w:divBdr>
        <w:top w:val="none" w:sz="0" w:space="0" w:color="auto"/>
        <w:left w:val="none" w:sz="0" w:space="0" w:color="auto"/>
        <w:bottom w:val="none" w:sz="0" w:space="0" w:color="auto"/>
        <w:right w:val="none" w:sz="0" w:space="0" w:color="auto"/>
      </w:divBdr>
      <w:divsChild>
        <w:div w:id="971449647">
          <w:marLeft w:val="0"/>
          <w:marRight w:val="0"/>
          <w:marTop w:val="0"/>
          <w:marBottom w:val="0"/>
          <w:divBdr>
            <w:top w:val="single" w:sz="2" w:space="0" w:color="E5E7EB"/>
            <w:left w:val="single" w:sz="2" w:space="0" w:color="E5E7EB"/>
            <w:bottom w:val="single" w:sz="2" w:space="0" w:color="E5E7EB"/>
            <w:right w:val="single" w:sz="2" w:space="0" w:color="E5E7EB"/>
          </w:divBdr>
          <w:divsChild>
            <w:div w:id="2022927202">
              <w:marLeft w:val="0"/>
              <w:marRight w:val="0"/>
              <w:marTop w:val="0"/>
              <w:marBottom w:val="0"/>
              <w:divBdr>
                <w:top w:val="none" w:sz="0" w:space="0" w:color="auto"/>
                <w:left w:val="none" w:sz="0" w:space="0" w:color="auto"/>
                <w:bottom w:val="none" w:sz="0" w:space="0" w:color="auto"/>
                <w:right w:val="none" w:sz="0" w:space="0" w:color="auto"/>
              </w:divBdr>
              <w:divsChild>
                <w:div w:id="532310270">
                  <w:marLeft w:val="0"/>
                  <w:marRight w:val="0"/>
                  <w:marTop w:val="0"/>
                  <w:marBottom w:val="0"/>
                  <w:divBdr>
                    <w:top w:val="none" w:sz="0" w:space="0" w:color="auto"/>
                    <w:left w:val="none" w:sz="0" w:space="0" w:color="auto"/>
                    <w:bottom w:val="none" w:sz="0" w:space="0" w:color="auto"/>
                    <w:right w:val="none" w:sz="0" w:space="0" w:color="auto"/>
                  </w:divBdr>
                  <w:divsChild>
                    <w:div w:id="199903438">
                      <w:marLeft w:val="0"/>
                      <w:marRight w:val="0"/>
                      <w:marTop w:val="0"/>
                      <w:marBottom w:val="0"/>
                      <w:divBdr>
                        <w:top w:val="single" w:sz="2" w:space="0" w:color="E5E7EB"/>
                        <w:left w:val="single" w:sz="2" w:space="0" w:color="E5E7EB"/>
                        <w:bottom w:val="single" w:sz="2" w:space="0" w:color="E5E7EB"/>
                        <w:right w:val="single" w:sz="2" w:space="0" w:color="E5E7EB"/>
                      </w:divBdr>
                      <w:divsChild>
                        <w:div w:id="195507908">
                          <w:marLeft w:val="0"/>
                          <w:marRight w:val="0"/>
                          <w:marTop w:val="0"/>
                          <w:marBottom w:val="0"/>
                          <w:divBdr>
                            <w:top w:val="single" w:sz="2" w:space="0" w:color="E5E7EB"/>
                            <w:left w:val="single" w:sz="2" w:space="0" w:color="E5E7EB"/>
                            <w:bottom w:val="single" w:sz="2" w:space="0" w:color="E5E7EB"/>
                            <w:right w:val="single" w:sz="2" w:space="0" w:color="E5E7EB"/>
                          </w:divBdr>
                          <w:divsChild>
                            <w:div w:id="2049839309">
                              <w:marLeft w:val="0"/>
                              <w:marRight w:val="0"/>
                              <w:marTop w:val="0"/>
                              <w:marBottom w:val="0"/>
                              <w:divBdr>
                                <w:top w:val="single" w:sz="2" w:space="0" w:color="E5E7EB"/>
                                <w:left w:val="single" w:sz="2" w:space="0" w:color="E5E7EB"/>
                                <w:bottom w:val="single" w:sz="2" w:space="0" w:color="E5E7EB"/>
                                <w:right w:val="single" w:sz="2" w:space="0" w:color="E5E7EB"/>
                              </w:divBdr>
                              <w:divsChild>
                                <w:div w:id="1640725452">
                                  <w:marLeft w:val="0"/>
                                  <w:marRight w:val="0"/>
                                  <w:marTop w:val="0"/>
                                  <w:marBottom w:val="0"/>
                                  <w:divBdr>
                                    <w:top w:val="none" w:sz="0" w:space="0" w:color="auto"/>
                                    <w:left w:val="none" w:sz="0" w:space="0" w:color="auto"/>
                                    <w:bottom w:val="none" w:sz="0" w:space="0" w:color="auto"/>
                                    <w:right w:val="none" w:sz="0" w:space="0" w:color="auto"/>
                                  </w:divBdr>
                                  <w:divsChild>
                                    <w:div w:id="325133304">
                                      <w:marLeft w:val="0"/>
                                      <w:marRight w:val="0"/>
                                      <w:marTop w:val="0"/>
                                      <w:marBottom w:val="0"/>
                                      <w:divBdr>
                                        <w:top w:val="single" w:sz="2" w:space="0" w:color="E5E7EB"/>
                                        <w:left w:val="single" w:sz="2" w:space="12" w:color="E5E7EB"/>
                                        <w:bottom w:val="single" w:sz="2" w:space="0" w:color="E5E7EB"/>
                                        <w:right w:val="single" w:sz="2" w:space="12" w:color="E5E7EB"/>
                                      </w:divBdr>
                                      <w:divsChild>
                                        <w:div w:id="1564951107">
                                          <w:marLeft w:val="0"/>
                                          <w:marRight w:val="0"/>
                                          <w:marTop w:val="0"/>
                                          <w:marBottom w:val="0"/>
                                          <w:divBdr>
                                            <w:top w:val="single" w:sz="2" w:space="0" w:color="E5E7EB"/>
                                            <w:left w:val="single" w:sz="2" w:space="0" w:color="E5E7EB"/>
                                            <w:bottom w:val="single" w:sz="2" w:space="0" w:color="E5E7EB"/>
                                            <w:right w:val="single" w:sz="2" w:space="0" w:color="E5E7EB"/>
                                          </w:divBdr>
                                          <w:divsChild>
                                            <w:div w:id="1279607268">
                                              <w:marLeft w:val="0"/>
                                              <w:marRight w:val="0"/>
                                              <w:marTop w:val="0"/>
                                              <w:marBottom w:val="0"/>
                                              <w:divBdr>
                                                <w:top w:val="single" w:sz="2" w:space="0" w:color="E5E7EB"/>
                                                <w:left w:val="single" w:sz="2" w:space="0" w:color="E5E7EB"/>
                                                <w:bottom w:val="single" w:sz="2" w:space="0" w:color="E5E7EB"/>
                                                <w:right w:val="single" w:sz="2" w:space="0" w:color="E5E7EB"/>
                                              </w:divBdr>
                                              <w:divsChild>
                                                <w:div w:id="717170919">
                                                  <w:marLeft w:val="0"/>
                                                  <w:marRight w:val="0"/>
                                                  <w:marTop w:val="0"/>
                                                  <w:marBottom w:val="0"/>
                                                  <w:divBdr>
                                                    <w:top w:val="single" w:sz="2" w:space="0" w:color="E5E7EB"/>
                                                    <w:left w:val="single" w:sz="2" w:space="0" w:color="E5E7EB"/>
                                                    <w:bottom w:val="single" w:sz="2" w:space="0" w:color="E5E7EB"/>
                                                    <w:right w:val="single" w:sz="2" w:space="0" w:color="E5E7EB"/>
                                                  </w:divBdr>
                                                  <w:divsChild>
                                                    <w:div w:id="288128477">
                                                      <w:marLeft w:val="0"/>
                                                      <w:marRight w:val="0"/>
                                                      <w:marTop w:val="0"/>
                                                      <w:marBottom w:val="0"/>
                                                      <w:divBdr>
                                                        <w:top w:val="single" w:sz="2" w:space="0" w:color="E5E7EB"/>
                                                        <w:left w:val="single" w:sz="2" w:space="0" w:color="E5E7EB"/>
                                                        <w:bottom w:val="single" w:sz="2" w:space="0" w:color="E5E7EB"/>
                                                        <w:right w:val="single" w:sz="2" w:space="0" w:color="E5E7EB"/>
                                                      </w:divBdr>
                                                      <w:divsChild>
                                                        <w:div w:id="2069255147">
                                                          <w:marLeft w:val="0"/>
                                                          <w:marRight w:val="0"/>
                                                          <w:marTop w:val="0"/>
                                                          <w:marBottom w:val="0"/>
                                                          <w:divBdr>
                                                            <w:top w:val="none" w:sz="0" w:space="0" w:color="auto"/>
                                                            <w:left w:val="none" w:sz="0" w:space="0" w:color="auto"/>
                                                            <w:bottom w:val="none" w:sz="0" w:space="0" w:color="auto"/>
                                                            <w:right w:val="none" w:sz="0" w:space="0" w:color="auto"/>
                                                          </w:divBdr>
                                                          <w:divsChild>
                                                            <w:div w:id="566958108">
                                                              <w:marLeft w:val="0"/>
                                                              <w:marRight w:val="0"/>
                                                              <w:marTop w:val="0"/>
                                                              <w:marBottom w:val="0"/>
                                                              <w:divBdr>
                                                                <w:top w:val="single" w:sz="2" w:space="0" w:color="E5E7EB"/>
                                                                <w:left w:val="single" w:sz="2" w:space="0" w:color="E5E7EB"/>
                                                                <w:bottom w:val="single" w:sz="2" w:space="0" w:color="E5E7EB"/>
                                                                <w:right w:val="single" w:sz="2" w:space="0" w:color="E5E7EB"/>
                                                              </w:divBdr>
                                                              <w:divsChild>
                                                                <w:div w:id="2082873326">
                                                                  <w:marLeft w:val="0"/>
                                                                  <w:marRight w:val="0"/>
                                                                  <w:marTop w:val="0"/>
                                                                  <w:marBottom w:val="0"/>
                                                                  <w:divBdr>
                                                                    <w:top w:val="single" w:sz="2" w:space="0" w:color="E5E7EB"/>
                                                                    <w:left w:val="single" w:sz="2" w:space="0" w:color="E5E7EB"/>
                                                                    <w:bottom w:val="single" w:sz="2" w:space="0" w:color="E5E7EB"/>
                                                                    <w:right w:val="single" w:sz="2" w:space="0" w:color="E5E7EB"/>
                                                                  </w:divBdr>
                                                                  <w:divsChild>
                                                                    <w:div w:id="389882579">
                                                                      <w:marLeft w:val="0"/>
                                                                      <w:marRight w:val="0"/>
                                                                      <w:marTop w:val="0"/>
                                                                      <w:marBottom w:val="0"/>
                                                                      <w:divBdr>
                                                                        <w:top w:val="single" w:sz="2" w:space="0" w:color="E5E7EB"/>
                                                                        <w:left w:val="single" w:sz="2" w:space="0" w:color="E5E7EB"/>
                                                                        <w:bottom w:val="single" w:sz="2" w:space="0" w:color="E5E7EB"/>
                                                                        <w:right w:val="single" w:sz="2" w:space="0" w:color="E5E7EB"/>
                                                                      </w:divBdr>
                                                                      <w:divsChild>
                                                                        <w:div w:id="267931317">
                                                                          <w:marLeft w:val="0"/>
                                                                          <w:marRight w:val="0"/>
                                                                          <w:marTop w:val="0"/>
                                                                          <w:marBottom w:val="0"/>
                                                                          <w:divBdr>
                                                                            <w:top w:val="single" w:sz="2" w:space="0" w:color="E5E7EB"/>
                                                                            <w:left w:val="single" w:sz="2" w:space="0" w:color="E5E7EB"/>
                                                                            <w:bottom w:val="single" w:sz="2" w:space="0" w:color="E5E7EB"/>
                                                                            <w:right w:val="single" w:sz="2" w:space="0" w:color="E5E7EB"/>
                                                                          </w:divBdr>
                                                                          <w:divsChild>
                                                                            <w:div w:id="436098374">
                                                                              <w:marLeft w:val="0"/>
                                                                              <w:marRight w:val="0"/>
                                                                              <w:marTop w:val="0"/>
                                                                              <w:marBottom w:val="0"/>
                                                                              <w:divBdr>
                                                                                <w:top w:val="single" w:sz="2" w:space="0" w:color="E5E7EB"/>
                                                                                <w:left w:val="single" w:sz="2" w:space="0" w:color="E5E7EB"/>
                                                                                <w:bottom w:val="single" w:sz="2" w:space="0" w:color="E5E7EB"/>
                                                                                <w:right w:val="single" w:sz="2" w:space="0" w:color="E5E7EB"/>
                                                                              </w:divBdr>
                                                                              <w:divsChild>
                                                                                <w:div w:id="592129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39546323">
                                                                  <w:marLeft w:val="0"/>
                                                                  <w:marRight w:val="0"/>
                                                                  <w:marTop w:val="0"/>
                                                                  <w:marBottom w:val="0"/>
                                                                  <w:divBdr>
                                                                    <w:top w:val="single" w:sz="2" w:space="0" w:color="E5E7EB"/>
                                                                    <w:left w:val="single" w:sz="2" w:space="0" w:color="E5E7EB"/>
                                                                    <w:bottom w:val="single" w:sz="2" w:space="0" w:color="E5E7EB"/>
                                                                    <w:right w:val="single" w:sz="2" w:space="0" w:color="E5E7EB"/>
                                                                  </w:divBdr>
                                                                  <w:divsChild>
                                                                    <w:div w:id="533929107">
                                                                      <w:marLeft w:val="-120"/>
                                                                      <w:marRight w:val="0"/>
                                                                      <w:marTop w:val="0"/>
                                                                      <w:marBottom w:val="0"/>
                                                                      <w:divBdr>
                                                                        <w:top w:val="single" w:sz="2" w:space="0" w:color="E5E7EB"/>
                                                                        <w:left w:val="single" w:sz="2" w:space="0" w:color="E5E7EB"/>
                                                                        <w:bottom w:val="single" w:sz="2" w:space="0" w:color="E5E7EB"/>
                                                                        <w:right w:val="single" w:sz="2" w:space="0" w:color="E5E7EB"/>
                                                                      </w:divBdr>
                                                                      <w:divsChild>
                                                                        <w:div w:id="431827720">
                                                                          <w:marLeft w:val="0"/>
                                                                          <w:marRight w:val="0"/>
                                                                          <w:marTop w:val="0"/>
                                                                          <w:marBottom w:val="0"/>
                                                                          <w:divBdr>
                                                                            <w:top w:val="single" w:sz="2" w:space="0" w:color="E5E7EB"/>
                                                                            <w:left w:val="single" w:sz="2" w:space="0" w:color="E5E7EB"/>
                                                                            <w:bottom w:val="single" w:sz="2" w:space="0" w:color="E5E7EB"/>
                                                                            <w:right w:val="single" w:sz="2" w:space="0" w:color="E5E7EB"/>
                                                                          </w:divBdr>
                                                                          <w:divsChild>
                                                                            <w:div w:id="8914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1044717">
                                                                          <w:marLeft w:val="0"/>
                                                                          <w:marRight w:val="0"/>
                                                                          <w:marTop w:val="0"/>
                                                                          <w:marBottom w:val="0"/>
                                                                          <w:divBdr>
                                                                            <w:top w:val="single" w:sz="2" w:space="0" w:color="E5E7EB"/>
                                                                            <w:left w:val="single" w:sz="2" w:space="0" w:color="E5E7EB"/>
                                                                            <w:bottom w:val="single" w:sz="2" w:space="0" w:color="E5E7EB"/>
                                                                            <w:right w:val="single" w:sz="2" w:space="0" w:color="E5E7EB"/>
                                                                          </w:divBdr>
                                                                          <w:divsChild>
                                                                            <w:div w:id="215238467">
                                                                              <w:marLeft w:val="0"/>
                                                                              <w:marRight w:val="0"/>
                                                                              <w:marTop w:val="0"/>
                                                                              <w:marBottom w:val="0"/>
                                                                              <w:divBdr>
                                                                                <w:top w:val="single" w:sz="2" w:space="0" w:color="E5E7EB"/>
                                                                                <w:left w:val="single" w:sz="2" w:space="0" w:color="E5E7EB"/>
                                                                                <w:bottom w:val="single" w:sz="2" w:space="0" w:color="E5E7EB"/>
                                                                                <w:right w:val="single" w:sz="2" w:space="0" w:color="E5E7EB"/>
                                                                              </w:divBdr>
                                                                              <w:divsChild>
                                                                                <w:div w:id="1685203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9962597">
                                                                          <w:marLeft w:val="0"/>
                                                                          <w:marRight w:val="0"/>
                                                                          <w:marTop w:val="0"/>
                                                                          <w:marBottom w:val="0"/>
                                                                          <w:divBdr>
                                                                            <w:top w:val="single" w:sz="2" w:space="0" w:color="E5E7EB"/>
                                                                            <w:left w:val="single" w:sz="2" w:space="0" w:color="E5E7EB"/>
                                                                            <w:bottom w:val="single" w:sz="2" w:space="0" w:color="E5E7EB"/>
                                                                            <w:right w:val="single" w:sz="2" w:space="0" w:color="E5E7EB"/>
                                                                          </w:divBdr>
                                                                          <w:divsChild>
                                                                            <w:div w:id="1604991684">
                                                                              <w:marLeft w:val="0"/>
                                                                              <w:marRight w:val="0"/>
                                                                              <w:marTop w:val="0"/>
                                                                              <w:marBottom w:val="0"/>
                                                                              <w:divBdr>
                                                                                <w:top w:val="single" w:sz="2" w:space="0" w:color="E5E7EB"/>
                                                                                <w:left w:val="single" w:sz="2" w:space="0" w:color="E5E7EB"/>
                                                                                <w:bottom w:val="single" w:sz="2" w:space="0" w:color="E5E7EB"/>
                                                                                <w:right w:val="single" w:sz="2" w:space="0" w:color="E5E7EB"/>
                                                                              </w:divBdr>
                                                                              <w:divsChild>
                                                                                <w:div w:id="134883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323371">
      <w:bodyDiv w:val="1"/>
      <w:marLeft w:val="0"/>
      <w:marRight w:val="0"/>
      <w:marTop w:val="0"/>
      <w:marBottom w:val="0"/>
      <w:divBdr>
        <w:top w:val="none" w:sz="0" w:space="0" w:color="auto"/>
        <w:left w:val="none" w:sz="0" w:space="0" w:color="auto"/>
        <w:bottom w:val="none" w:sz="0" w:space="0" w:color="auto"/>
        <w:right w:val="none" w:sz="0" w:space="0" w:color="auto"/>
      </w:divBdr>
    </w:div>
    <w:div w:id="164126333">
      <w:bodyDiv w:val="1"/>
      <w:marLeft w:val="0"/>
      <w:marRight w:val="0"/>
      <w:marTop w:val="0"/>
      <w:marBottom w:val="0"/>
      <w:divBdr>
        <w:top w:val="none" w:sz="0" w:space="0" w:color="auto"/>
        <w:left w:val="none" w:sz="0" w:space="0" w:color="auto"/>
        <w:bottom w:val="none" w:sz="0" w:space="0" w:color="auto"/>
        <w:right w:val="none" w:sz="0" w:space="0" w:color="auto"/>
      </w:divBdr>
    </w:div>
    <w:div w:id="176310213">
      <w:bodyDiv w:val="1"/>
      <w:marLeft w:val="0"/>
      <w:marRight w:val="0"/>
      <w:marTop w:val="0"/>
      <w:marBottom w:val="0"/>
      <w:divBdr>
        <w:top w:val="none" w:sz="0" w:space="0" w:color="auto"/>
        <w:left w:val="none" w:sz="0" w:space="0" w:color="auto"/>
        <w:bottom w:val="none" w:sz="0" w:space="0" w:color="auto"/>
        <w:right w:val="none" w:sz="0" w:space="0" w:color="auto"/>
      </w:divBdr>
    </w:div>
    <w:div w:id="201283307">
      <w:bodyDiv w:val="1"/>
      <w:marLeft w:val="0"/>
      <w:marRight w:val="0"/>
      <w:marTop w:val="0"/>
      <w:marBottom w:val="0"/>
      <w:divBdr>
        <w:top w:val="none" w:sz="0" w:space="0" w:color="auto"/>
        <w:left w:val="none" w:sz="0" w:space="0" w:color="auto"/>
        <w:bottom w:val="none" w:sz="0" w:space="0" w:color="auto"/>
        <w:right w:val="none" w:sz="0" w:space="0" w:color="auto"/>
      </w:divBdr>
    </w:div>
    <w:div w:id="243337911">
      <w:bodyDiv w:val="1"/>
      <w:marLeft w:val="0"/>
      <w:marRight w:val="0"/>
      <w:marTop w:val="0"/>
      <w:marBottom w:val="0"/>
      <w:divBdr>
        <w:top w:val="none" w:sz="0" w:space="0" w:color="auto"/>
        <w:left w:val="none" w:sz="0" w:space="0" w:color="auto"/>
        <w:bottom w:val="none" w:sz="0" w:space="0" w:color="auto"/>
        <w:right w:val="none" w:sz="0" w:space="0" w:color="auto"/>
      </w:divBdr>
    </w:div>
    <w:div w:id="252324054">
      <w:bodyDiv w:val="1"/>
      <w:marLeft w:val="0"/>
      <w:marRight w:val="0"/>
      <w:marTop w:val="0"/>
      <w:marBottom w:val="0"/>
      <w:divBdr>
        <w:top w:val="none" w:sz="0" w:space="0" w:color="auto"/>
        <w:left w:val="none" w:sz="0" w:space="0" w:color="auto"/>
        <w:bottom w:val="none" w:sz="0" w:space="0" w:color="auto"/>
        <w:right w:val="none" w:sz="0" w:space="0" w:color="auto"/>
      </w:divBdr>
    </w:div>
    <w:div w:id="276528917">
      <w:bodyDiv w:val="1"/>
      <w:marLeft w:val="0"/>
      <w:marRight w:val="0"/>
      <w:marTop w:val="0"/>
      <w:marBottom w:val="0"/>
      <w:divBdr>
        <w:top w:val="none" w:sz="0" w:space="0" w:color="auto"/>
        <w:left w:val="none" w:sz="0" w:space="0" w:color="auto"/>
        <w:bottom w:val="none" w:sz="0" w:space="0" w:color="auto"/>
        <w:right w:val="none" w:sz="0" w:space="0" w:color="auto"/>
      </w:divBdr>
    </w:div>
    <w:div w:id="343671004">
      <w:bodyDiv w:val="1"/>
      <w:marLeft w:val="0"/>
      <w:marRight w:val="0"/>
      <w:marTop w:val="0"/>
      <w:marBottom w:val="0"/>
      <w:divBdr>
        <w:top w:val="none" w:sz="0" w:space="0" w:color="auto"/>
        <w:left w:val="none" w:sz="0" w:space="0" w:color="auto"/>
        <w:bottom w:val="none" w:sz="0" w:space="0" w:color="auto"/>
        <w:right w:val="none" w:sz="0" w:space="0" w:color="auto"/>
      </w:divBdr>
      <w:divsChild>
        <w:div w:id="2128427099">
          <w:marLeft w:val="0"/>
          <w:marRight w:val="0"/>
          <w:marTop w:val="0"/>
          <w:marBottom w:val="0"/>
          <w:divBdr>
            <w:top w:val="single" w:sz="2" w:space="0" w:color="auto"/>
            <w:left w:val="single" w:sz="2" w:space="4" w:color="auto"/>
            <w:bottom w:val="single" w:sz="2" w:space="0" w:color="auto"/>
            <w:right w:val="single" w:sz="2" w:space="4" w:color="auto"/>
          </w:divBdr>
        </w:div>
      </w:divsChild>
    </w:div>
    <w:div w:id="346909804">
      <w:bodyDiv w:val="1"/>
      <w:marLeft w:val="0"/>
      <w:marRight w:val="0"/>
      <w:marTop w:val="0"/>
      <w:marBottom w:val="0"/>
      <w:divBdr>
        <w:top w:val="none" w:sz="0" w:space="0" w:color="auto"/>
        <w:left w:val="none" w:sz="0" w:space="0" w:color="auto"/>
        <w:bottom w:val="none" w:sz="0" w:space="0" w:color="auto"/>
        <w:right w:val="none" w:sz="0" w:space="0" w:color="auto"/>
      </w:divBdr>
    </w:div>
    <w:div w:id="372536476">
      <w:bodyDiv w:val="1"/>
      <w:marLeft w:val="0"/>
      <w:marRight w:val="0"/>
      <w:marTop w:val="0"/>
      <w:marBottom w:val="0"/>
      <w:divBdr>
        <w:top w:val="none" w:sz="0" w:space="0" w:color="auto"/>
        <w:left w:val="none" w:sz="0" w:space="0" w:color="auto"/>
        <w:bottom w:val="none" w:sz="0" w:space="0" w:color="auto"/>
        <w:right w:val="none" w:sz="0" w:space="0" w:color="auto"/>
      </w:divBdr>
    </w:div>
    <w:div w:id="378431540">
      <w:bodyDiv w:val="1"/>
      <w:marLeft w:val="0"/>
      <w:marRight w:val="0"/>
      <w:marTop w:val="0"/>
      <w:marBottom w:val="0"/>
      <w:divBdr>
        <w:top w:val="none" w:sz="0" w:space="0" w:color="auto"/>
        <w:left w:val="none" w:sz="0" w:space="0" w:color="auto"/>
        <w:bottom w:val="none" w:sz="0" w:space="0" w:color="auto"/>
        <w:right w:val="none" w:sz="0" w:space="0" w:color="auto"/>
      </w:divBdr>
    </w:div>
    <w:div w:id="383405585">
      <w:bodyDiv w:val="1"/>
      <w:marLeft w:val="0"/>
      <w:marRight w:val="0"/>
      <w:marTop w:val="0"/>
      <w:marBottom w:val="0"/>
      <w:divBdr>
        <w:top w:val="none" w:sz="0" w:space="0" w:color="auto"/>
        <w:left w:val="none" w:sz="0" w:space="0" w:color="auto"/>
        <w:bottom w:val="none" w:sz="0" w:space="0" w:color="auto"/>
        <w:right w:val="none" w:sz="0" w:space="0" w:color="auto"/>
      </w:divBdr>
    </w:div>
    <w:div w:id="384571378">
      <w:bodyDiv w:val="1"/>
      <w:marLeft w:val="0"/>
      <w:marRight w:val="0"/>
      <w:marTop w:val="0"/>
      <w:marBottom w:val="0"/>
      <w:divBdr>
        <w:top w:val="none" w:sz="0" w:space="0" w:color="auto"/>
        <w:left w:val="none" w:sz="0" w:space="0" w:color="auto"/>
        <w:bottom w:val="none" w:sz="0" w:space="0" w:color="auto"/>
        <w:right w:val="none" w:sz="0" w:space="0" w:color="auto"/>
      </w:divBdr>
    </w:div>
    <w:div w:id="433942844">
      <w:bodyDiv w:val="1"/>
      <w:marLeft w:val="0"/>
      <w:marRight w:val="0"/>
      <w:marTop w:val="0"/>
      <w:marBottom w:val="0"/>
      <w:divBdr>
        <w:top w:val="none" w:sz="0" w:space="0" w:color="auto"/>
        <w:left w:val="none" w:sz="0" w:space="0" w:color="auto"/>
        <w:bottom w:val="none" w:sz="0" w:space="0" w:color="auto"/>
        <w:right w:val="none" w:sz="0" w:space="0" w:color="auto"/>
      </w:divBdr>
    </w:div>
    <w:div w:id="449708222">
      <w:bodyDiv w:val="1"/>
      <w:marLeft w:val="0"/>
      <w:marRight w:val="0"/>
      <w:marTop w:val="0"/>
      <w:marBottom w:val="0"/>
      <w:divBdr>
        <w:top w:val="none" w:sz="0" w:space="0" w:color="auto"/>
        <w:left w:val="none" w:sz="0" w:space="0" w:color="auto"/>
        <w:bottom w:val="none" w:sz="0" w:space="0" w:color="auto"/>
        <w:right w:val="none" w:sz="0" w:space="0" w:color="auto"/>
      </w:divBdr>
    </w:div>
    <w:div w:id="454717997">
      <w:bodyDiv w:val="1"/>
      <w:marLeft w:val="0"/>
      <w:marRight w:val="0"/>
      <w:marTop w:val="0"/>
      <w:marBottom w:val="0"/>
      <w:divBdr>
        <w:top w:val="none" w:sz="0" w:space="0" w:color="auto"/>
        <w:left w:val="none" w:sz="0" w:space="0" w:color="auto"/>
        <w:bottom w:val="none" w:sz="0" w:space="0" w:color="auto"/>
        <w:right w:val="none" w:sz="0" w:space="0" w:color="auto"/>
      </w:divBdr>
    </w:div>
    <w:div w:id="505441650">
      <w:bodyDiv w:val="1"/>
      <w:marLeft w:val="0"/>
      <w:marRight w:val="0"/>
      <w:marTop w:val="0"/>
      <w:marBottom w:val="0"/>
      <w:divBdr>
        <w:top w:val="none" w:sz="0" w:space="0" w:color="auto"/>
        <w:left w:val="none" w:sz="0" w:space="0" w:color="auto"/>
        <w:bottom w:val="none" w:sz="0" w:space="0" w:color="auto"/>
        <w:right w:val="none" w:sz="0" w:space="0" w:color="auto"/>
      </w:divBdr>
    </w:div>
    <w:div w:id="512106544">
      <w:bodyDiv w:val="1"/>
      <w:marLeft w:val="0"/>
      <w:marRight w:val="0"/>
      <w:marTop w:val="0"/>
      <w:marBottom w:val="0"/>
      <w:divBdr>
        <w:top w:val="none" w:sz="0" w:space="0" w:color="auto"/>
        <w:left w:val="none" w:sz="0" w:space="0" w:color="auto"/>
        <w:bottom w:val="none" w:sz="0" w:space="0" w:color="auto"/>
        <w:right w:val="none" w:sz="0" w:space="0" w:color="auto"/>
      </w:divBdr>
    </w:div>
    <w:div w:id="525867919">
      <w:bodyDiv w:val="1"/>
      <w:marLeft w:val="0"/>
      <w:marRight w:val="0"/>
      <w:marTop w:val="0"/>
      <w:marBottom w:val="0"/>
      <w:divBdr>
        <w:top w:val="none" w:sz="0" w:space="0" w:color="auto"/>
        <w:left w:val="none" w:sz="0" w:space="0" w:color="auto"/>
        <w:bottom w:val="none" w:sz="0" w:space="0" w:color="auto"/>
        <w:right w:val="none" w:sz="0" w:space="0" w:color="auto"/>
      </w:divBdr>
    </w:div>
    <w:div w:id="533275202">
      <w:bodyDiv w:val="1"/>
      <w:marLeft w:val="0"/>
      <w:marRight w:val="0"/>
      <w:marTop w:val="0"/>
      <w:marBottom w:val="0"/>
      <w:divBdr>
        <w:top w:val="none" w:sz="0" w:space="0" w:color="auto"/>
        <w:left w:val="none" w:sz="0" w:space="0" w:color="auto"/>
        <w:bottom w:val="none" w:sz="0" w:space="0" w:color="auto"/>
        <w:right w:val="none" w:sz="0" w:space="0" w:color="auto"/>
      </w:divBdr>
    </w:div>
    <w:div w:id="535234327">
      <w:bodyDiv w:val="1"/>
      <w:marLeft w:val="0"/>
      <w:marRight w:val="0"/>
      <w:marTop w:val="0"/>
      <w:marBottom w:val="0"/>
      <w:divBdr>
        <w:top w:val="none" w:sz="0" w:space="0" w:color="auto"/>
        <w:left w:val="none" w:sz="0" w:space="0" w:color="auto"/>
        <w:bottom w:val="none" w:sz="0" w:space="0" w:color="auto"/>
        <w:right w:val="none" w:sz="0" w:space="0" w:color="auto"/>
      </w:divBdr>
    </w:div>
    <w:div w:id="544949285">
      <w:bodyDiv w:val="1"/>
      <w:marLeft w:val="0"/>
      <w:marRight w:val="0"/>
      <w:marTop w:val="0"/>
      <w:marBottom w:val="0"/>
      <w:divBdr>
        <w:top w:val="none" w:sz="0" w:space="0" w:color="auto"/>
        <w:left w:val="none" w:sz="0" w:space="0" w:color="auto"/>
        <w:bottom w:val="none" w:sz="0" w:space="0" w:color="auto"/>
        <w:right w:val="none" w:sz="0" w:space="0" w:color="auto"/>
      </w:divBdr>
    </w:div>
    <w:div w:id="549271618">
      <w:bodyDiv w:val="1"/>
      <w:marLeft w:val="0"/>
      <w:marRight w:val="0"/>
      <w:marTop w:val="0"/>
      <w:marBottom w:val="0"/>
      <w:divBdr>
        <w:top w:val="none" w:sz="0" w:space="0" w:color="auto"/>
        <w:left w:val="none" w:sz="0" w:space="0" w:color="auto"/>
        <w:bottom w:val="none" w:sz="0" w:space="0" w:color="auto"/>
        <w:right w:val="none" w:sz="0" w:space="0" w:color="auto"/>
      </w:divBdr>
    </w:div>
    <w:div w:id="595746788">
      <w:bodyDiv w:val="1"/>
      <w:marLeft w:val="0"/>
      <w:marRight w:val="0"/>
      <w:marTop w:val="0"/>
      <w:marBottom w:val="0"/>
      <w:divBdr>
        <w:top w:val="none" w:sz="0" w:space="0" w:color="auto"/>
        <w:left w:val="none" w:sz="0" w:space="0" w:color="auto"/>
        <w:bottom w:val="none" w:sz="0" w:space="0" w:color="auto"/>
        <w:right w:val="none" w:sz="0" w:space="0" w:color="auto"/>
      </w:divBdr>
    </w:div>
    <w:div w:id="658116121">
      <w:bodyDiv w:val="1"/>
      <w:marLeft w:val="0"/>
      <w:marRight w:val="0"/>
      <w:marTop w:val="0"/>
      <w:marBottom w:val="0"/>
      <w:divBdr>
        <w:top w:val="none" w:sz="0" w:space="0" w:color="auto"/>
        <w:left w:val="none" w:sz="0" w:space="0" w:color="auto"/>
        <w:bottom w:val="none" w:sz="0" w:space="0" w:color="auto"/>
        <w:right w:val="none" w:sz="0" w:space="0" w:color="auto"/>
      </w:divBdr>
    </w:div>
    <w:div w:id="691881751">
      <w:bodyDiv w:val="1"/>
      <w:marLeft w:val="0"/>
      <w:marRight w:val="0"/>
      <w:marTop w:val="0"/>
      <w:marBottom w:val="0"/>
      <w:divBdr>
        <w:top w:val="none" w:sz="0" w:space="0" w:color="auto"/>
        <w:left w:val="none" w:sz="0" w:space="0" w:color="auto"/>
        <w:bottom w:val="none" w:sz="0" w:space="0" w:color="auto"/>
        <w:right w:val="none" w:sz="0" w:space="0" w:color="auto"/>
      </w:divBdr>
    </w:div>
    <w:div w:id="694696892">
      <w:bodyDiv w:val="1"/>
      <w:marLeft w:val="0"/>
      <w:marRight w:val="0"/>
      <w:marTop w:val="0"/>
      <w:marBottom w:val="0"/>
      <w:divBdr>
        <w:top w:val="none" w:sz="0" w:space="0" w:color="auto"/>
        <w:left w:val="none" w:sz="0" w:space="0" w:color="auto"/>
        <w:bottom w:val="none" w:sz="0" w:space="0" w:color="auto"/>
        <w:right w:val="none" w:sz="0" w:space="0" w:color="auto"/>
      </w:divBdr>
    </w:div>
    <w:div w:id="715738946">
      <w:bodyDiv w:val="1"/>
      <w:marLeft w:val="0"/>
      <w:marRight w:val="0"/>
      <w:marTop w:val="0"/>
      <w:marBottom w:val="0"/>
      <w:divBdr>
        <w:top w:val="none" w:sz="0" w:space="0" w:color="auto"/>
        <w:left w:val="none" w:sz="0" w:space="0" w:color="auto"/>
        <w:bottom w:val="none" w:sz="0" w:space="0" w:color="auto"/>
        <w:right w:val="none" w:sz="0" w:space="0" w:color="auto"/>
      </w:divBdr>
    </w:div>
    <w:div w:id="742340289">
      <w:bodyDiv w:val="1"/>
      <w:marLeft w:val="0"/>
      <w:marRight w:val="0"/>
      <w:marTop w:val="0"/>
      <w:marBottom w:val="0"/>
      <w:divBdr>
        <w:top w:val="none" w:sz="0" w:space="0" w:color="auto"/>
        <w:left w:val="none" w:sz="0" w:space="0" w:color="auto"/>
        <w:bottom w:val="none" w:sz="0" w:space="0" w:color="auto"/>
        <w:right w:val="none" w:sz="0" w:space="0" w:color="auto"/>
      </w:divBdr>
    </w:div>
    <w:div w:id="788861438">
      <w:bodyDiv w:val="1"/>
      <w:marLeft w:val="0"/>
      <w:marRight w:val="0"/>
      <w:marTop w:val="0"/>
      <w:marBottom w:val="0"/>
      <w:divBdr>
        <w:top w:val="none" w:sz="0" w:space="0" w:color="auto"/>
        <w:left w:val="none" w:sz="0" w:space="0" w:color="auto"/>
        <w:bottom w:val="none" w:sz="0" w:space="0" w:color="auto"/>
        <w:right w:val="none" w:sz="0" w:space="0" w:color="auto"/>
      </w:divBdr>
    </w:div>
    <w:div w:id="822966495">
      <w:bodyDiv w:val="1"/>
      <w:marLeft w:val="0"/>
      <w:marRight w:val="0"/>
      <w:marTop w:val="0"/>
      <w:marBottom w:val="0"/>
      <w:divBdr>
        <w:top w:val="none" w:sz="0" w:space="0" w:color="auto"/>
        <w:left w:val="none" w:sz="0" w:space="0" w:color="auto"/>
        <w:bottom w:val="none" w:sz="0" w:space="0" w:color="auto"/>
        <w:right w:val="none" w:sz="0" w:space="0" w:color="auto"/>
      </w:divBdr>
    </w:div>
    <w:div w:id="829373443">
      <w:bodyDiv w:val="1"/>
      <w:marLeft w:val="0"/>
      <w:marRight w:val="0"/>
      <w:marTop w:val="0"/>
      <w:marBottom w:val="0"/>
      <w:divBdr>
        <w:top w:val="none" w:sz="0" w:space="0" w:color="auto"/>
        <w:left w:val="none" w:sz="0" w:space="0" w:color="auto"/>
        <w:bottom w:val="none" w:sz="0" w:space="0" w:color="auto"/>
        <w:right w:val="none" w:sz="0" w:space="0" w:color="auto"/>
      </w:divBdr>
      <w:divsChild>
        <w:div w:id="1470325707">
          <w:marLeft w:val="0"/>
          <w:marRight w:val="0"/>
          <w:marTop w:val="0"/>
          <w:marBottom w:val="0"/>
          <w:divBdr>
            <w:top w:val="single" w:sz="2" w:space="0" w:color="E5E7EB"/>
            <w:left w:val="single" w:sz="2" w:space="0" w:color="E5E7EB"/>
            <w:bottom w:val="single" w:sz="2" w:space="0" w:color="E5E7EB"/>
            <w:right w:val="single" w:sz="2" w:space="0" w:color="E5E7EB"/>
          </w:divBdr>
          <w:divsChild>
            <w:div w:id="2077781402">
              <w:marLeft w:val="0"/>
              <w:marRight w:val="0"/>
              <w:marTop w:val="0"/>
              <w:marBottom w:val="0"/>
              <w:divBdr>
                <w:top w:val="none" w:sz="0" w:space="0" w:color="auto"/>
                <w:left w:val="none" w:sz="0" w:space="0" w:color="auto"/>
                <w:bottom w:val="none" w:sz="0" w:space="0" w:color="auto"/>
                <w:right w:val="none" w:sz="0" w:space="0" w:color="auto"/>
              </w:divBdr>
              <w:divsChild>
                <w:div w:id="1320843512">
                  <w:marLeft w:val="0"/>
                  <w:marRight w:val="0"/>
                  <w:marTop w:val="0"/>
                  <w:marBottom w:val="0"/>
                  <w:divBdr>
                    <w:top w:val="none" w:sz="0" w:space="0" w:color="auto"/>
                    <w:left w:val="none" w:sz="0" w:space="0" w:color="auto"/>
                    <w:bottom w:val="none" w:sz="0" w:space="0" w:color="auto"/>
                    <w:right w:val="none" w:sz="0" w:space="0" w:color="auto"/>
                  </w:divBdr>
                  <w:divsChild>
                    <w:div w:id="374933056">
                      <w:marLeft w:val="0"/>
                      <w:marRight w:val="0"/>
                      <w:marTop w:val="0"/>
                      <w:marBottom w:val="0"/>
                      <w:divBdr>
                        <w:top w:val="single" w:sz="2" w:space="0" w:color="E5E7EB"/>
                        <w:left w:val="single" w:sz="2" w:space="0" w:color="E5E7EB"/>
                        <w:bottom w:val="single" w:sz="2" w:space="0" w:color="E5E7EB"/>
                        <w:right w:val="single" w:sz="2" w:space="0" w:color="E5E7EB"/>
                      </w:divBdr>
                      <w:divsChild>
                        <w:div w:id="1829399143">
                          <w:marLeft w:val="0"/>
                          <w:marRight w:val="0"/>
                          <w:marTop w:val="0"/>
                          <w:marBottom w:val="0"/>
                          <w:divBdr>
                            <w:top w:val="single" w:sz="2" w:space="0" w:color="E5E7EB"/>
                            <w:left w:val="single" w:sz="2" w:space="0" w:color="E5E7EB"/>
                            <w:bottom w:val="single" w:sz="2" w:space="0" w:color="E5E7EB"/>
                            <w:right w:val="single" w:sz="2" w:space="0" w:color="E5E7EB"/>
                          </w:divBdr>
                          <w:divsChild>
                            <w:div w:id="1159659816">
                              <w:marLeft w:val="0"/>
                              <w:marRight w:val="0"/>
                              <w:marTop w:val="0"/>
                              <w:marBottom w:val="0"/>
                              <w:divBdr>
                                <w:top w:val="single" w:sz="2" w:space="0" w:color="E5E7EB"/>
                                <w:left w:val="single" w:sz="2" w:space="0" w:color="E5E7EB"/>
                                <w:bottom w:val="single" w:sz="2" w:space="0" w:color="E5E7EB"/>
                                <w:right w:val="single" w:sz="2" w:space="0" w:color="E5E7EB"/>
                              </w:divBdr>
                              <w:divsChild>
                                <w:div w:id="254485501">
                                  <w:marLeft w:val="0"/>
                                  <w:marRight w:val="0"/>
                                  <w:marTop w:val="0"/>
                                  <w:marBottom w:val="0"/>
                                  <w:divBdr>
                                    <w:top w:val="none" w:sz="0" w:space="0" w:color="auto"/>
                                    <w:left w:val="none" w:sz="0" w:space="0" w:color="auto"/>
                                    <w:bottom w:val="none" w:sz="0" w:space="0" w:color="auto"/>
                                    <w:right w:val="none" w:sz="0" w:space="0" w:color="auto"/>
                                  </w:divBdr>
                                  <w:divsChild>
                                    <w:div w:id="1258637451">
                                      <w:marLeft w:val="0"/>
                                      <w:marRight w:val="0"/>
                                      <w:marTop w:val="0"/>
                                      <w:marBottom w:val="0"/>
                                      <w:divBdr>
                                        <w:top w:val="single" w:sz="2" w:space="0" w:color="E5E7EB"/>
                                        <w:left w:val="single" w:sz="2" w:space="12" w:color="E5E7EB"/>
                                        <w:bottom w:val="single" w:sz="2" w:space="0" w:color="E5E7EB"/>
                                        <w:right w:val="single" w:sz="2" w:space="12" w:color="E5E7EB"/>
                                      </w:divBdr>
                                      <w:divsChild>
                                        <w:div w:id="1514759847">
                                          <w:marLeft w:val="0"/>
                                          <w:marRight w:val="0"/>
                                          <w:marTop w:val="0"/>
                                          <w:marBottom w:val="0"/>
                                          <w:divBdr>
                                            <w:top w:val="single" w:sz="2" w:space="0" w:color="E5E7EB"/>
                                            <w:left w:val="single" w:sz="2" w:space="0" w:color="E5E7EB"/>
                                            <w:bottom w:val="single" w:sz="2" w:space="0" w:color="E5E7EB"/>
                                            <w:right w:val="single" w:sz="2" w:space="0" w:color="E5E7EB"/>
                                          </w:divBdr>
                                          <w:divsChild>
                                            <w:div w:id="1395084949">
                                              <w:marLeft w:val="0"/>
                                              <w:marRight w:val="0"/>
                                              <w:marTop w:val="0"/>
                                              <w:marBottom w:val="0"/>
                                              <w:divBdr>
                                                <w:top w:val="single" w:sz="2" w:space="0" w:color="E5E7EB"/>
                                                <w:left w:val="single" w:sz="2" w:space="0" w:color="E5E7EB"/>
                                                <w:bottom w:val="single" w:sz="2" w:space="0" w:color="E5E7EB"/>
                                                <w:right w:val="single" w:sz="2" w:space="0" w:color="E5E7EB"/>
                                              </w:divBdr>
                                              <w:divsChild>
                                                <w:div w:id="1221939244">
                                                  <w:marLeft w:val="0"/>
                                                  <w:marRight w:val="0"/>
                                                  <w:marTop w:val="0"/>
                                                  <w:marBottom w:val="0"/>
                                                  <w:divBdr>
                                                    <w:top w:val="single" w:sz="2" w:space="0" w:color="E5E7EB"/>
                                                    <w:left w:val="single" w:sz="2" w:space="0" w:color="E5E7EB"/>
                                                    <w:bottom w:val="single" w:sz="2" w:space="0" w:color="E5E7EB"/>
                                                    <w:right w:val="single" w:sz="2" w:space="0" w:color="E5E7EB"/>
                                                  </w:divBdr>
                                                  <w:divsChild>
                                                    <w:div w:id="1085684775">
                                                      <w:marLeft w:val="0"/>
                                                      <w:marRight w:val="0"/>
                                                      <w:marTop w:val="0"/>
                                                      <w:marBottom w:val="0"/>
                                                      <w:divBdr>
                                                        <w:top w:val="single" w:sz="2" w:space="0" w:color="E5E7EB"/>
                                                        <w:left w:val="single" w:sz="2" w:space="0" w:color="E5E7EB"/>
                                                        <w:bottom w:val="single" w:sz="2" w:space="0" w:color="E5E7EB"/>
                                                        <w:right w:val="single" w:sz="2" w:space="0" w:color="E5E7EB"/>
                                                      </w:divBdr>
                                                      <w:divsChild>
                                                        <w:div w:id="17390099">
                                                          <w:marLeft w:val="0"/>
                                                          <w:marRight w:val="0"/>
                                                          <w:marTop w:val="0"/>
                                                          <w:marBottom w:val="0"/>
                                                          <w:divBdr>
                                                            <w:top w:val="none" w:sz="0" w:space="0" w:color="auto"/>
                                                            <w:left w:val="none" w:sz="0" w:space="0" w:color="auto"/>
                                                            <w:bottom w:val="none" w:sz="0" w:space="0" w:color="auto"/>
                                                            <w:right w:val="none" w:sz="0" w:space="0" w:color="auto"/>
                                                          </w:divBdr>
                                                          <w:divsChild>
                                                            <w:div w:id="1454399998">
                                                              <w:marLeft w:val="0"/>
                                                              <w:marRight w:val="0"/>
                                                              <w:marTop w:val="0"/>
                                                              <w:marBottom w:val="0"/>
                                                              <w:divBdr>
                                                                <w:top w:val="single" w:sz="2" w:space="0" w:color="E5E7EB"/>
                                                                <w:left w:val="single" w:sz="2" w:space="0" w:color="E5E7EB"/>
                                                                <w:bottom w:val="single" w:sz="2" w:space="0" w:color="E5E7EB"/>
                                                                <w:right w:val="single" w:sz="2" w:space="0" w:color="E5E7EB"/>
                                                              </w:divBdr>
                                                              <w:divsChild>
                                                                <w:div w:id="1103955326">
                                                                  <w:marLeft w:val="0"/>
                                                                  <w:marRight w:val="0"/>
                                                                  <w:marTop w:val="0"/>
                                                                  <w:marBottom w:val="0"/>
                                                                  <w:divBdr>
                                                                    <w:top w:val="single" w:sz="2" w:space="0" w:color="E5E7EB"/>
                                                                    <w:left w:val="single" w:sz="2" w:space="0" w:color="E5E7EB"/>
                                                                    <w:bottom w:val="single" w:sz="2" w:space="0" w:color="E5E7EB"/>
                                                                    <w:right w:val="single" w:sz="2" w:space="0" w:color="E5E7EB"/>
                                                                  </w:divBdr>
                                                                  <w:divsChild>
                                                                    <w:div w:id="741870971">
                                                                      <w:marLeft w:val="0"/>
                                                                      <w:marRight w:val="0"/>
                                                                      <w:marTop w:val="0"/>
                                                                      <w:marBottom w:val="0"/>
                                                                      <w:divBdr>
                                                                        <w:top w:val="single" w:sz="2" w:space="0" w:color="E5E7EB"/>
                                                                        <w:left w:val="single" w:sz="2" w:space="0" w:color="E5E7EB"/>
                                                                        <w:bottom w:val="single" w:sz="2" w:space="0" w:color="E5E7EB"/>
                                                                        <w:right w:val="single" w:sz="2" w:space="0" w:color="E5E7EB"/>
                                                                      </w:divBdr>
                                                                      <w:divsChild>
                                                                        <w:div w:id="967663857">
                                                                          <w:marLeft w:val="0"/>
                                                                          <w:marRight w:val="0"/>
                                                                          <w:marTop w:val="0"/>
                                                                          <w:marBottom w:val="0"/>
                                                                          <w:divBdr>
                                                                            <w:top w:val="single" w:sz="2" w:space="0" w:color="E5E7EB"/>
                                                                            <w:left w:val="single" w:sz="2" w:space="0" w:color="E5E7EB"/>
                                                                            <w:bottom w:val="single" w:sz="2" w:space="0" w:color="E5E7EB"/>
                                                                            <w:right w:val="single" w:sz="2" w:space="0" w:color="E5E7EB"/>
                                                                          </w:divBdr>
                                                                          <w:divsChild>
                                                                            <w:div w:id="802625012">
                                                                              <w:marLeft w:val="0"/>
                                                                              <w:marRight w:val="0"/>
                                                                              <w:marTop w:val="0"/>
                                                                              <w:marBottom w:val="0"/>
                                                                              <w:divBdr>
                                                                                <w:top w:val="single" w:sz="2" w:space="0" w:color="E5E7EB"/>
                                                                                <w:left w:val="single" w:sz="2" w:space="0" w:color="E5E7EB"/>
                                                                                <w:bottom w:val="single" w:sz="2" w:space="0" w:color="E5E7EB"/>
                                                                                <w:right w:val="single" w:sz="2" w:space="0" w:color="E5E7EB"/>
                                                                              </w:divBdr>
                                                                              <w:divsChild>
                                                                                <w:div w:id="1213734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24889422">
                                                                  <w:marLeft w:val="0"/>
                                                                  <w:marRight w:val="0"/>
                                                                  <w:marTop w:val="0"/>
                                                                  <w:marBottom w:val="0"/>
                                                                  <w:divBdr>
                                                                    <w:top w:val="single" w:sz="2" w:space="0" w:color="E5E7EB"/>
                                                                    <w:left w:val="single" w:sz="2" w:space="0" w:color="E5E7EB"/>
                                                                    <w:bottom w:val="single" w:sz="2" w:space="0" w:color="E5E7EB"/>
                                                                    <w:right w:val="single" w:sz="2" w:space="0" w:color="E5E7EB"/>
                                                                  </w:divBdr>
                                                                  <w:divsChild>
                                                                    <w:div w:id="570654700">
                                                                      <w:marLeft w:val="-120"/>
                                                                      <w:marRight w:val="0"/>
                                                                      <w:marTop w:val="0"/>
                                                                      <w:marBottom w:val="0"/>
                                                                      <w:divBdr>
                                                                        <w:top w:val="single" w:sz="2" w:space="0" w:color="E5E7EB"/>
                                                                        <w:left w:val="single" w:sz="2" w:space="0" w:color="E5E7EB"/>
                                                                        <w:bottom w:val="single" w:sz="2" w:space="0" w:color="E5E7EB"/>
                                                                        <w:right w:val="single" w:sz="2" w:space="0" w:color="E5E7EB"/>
                                                                      </w:divBdr>
                                                                      <w:divsChild>
                                                                        <w:div w:id="732894447">
                                                                          <w:marLeft w:val="0"/>
                                                                          <w:marRight w:val="0"/>
                                                                          <w:marTop w:val="0"/>
                                                                          <w:marBottom w:val="0"/>
                                                                          <w:divBdr>
                                                                            <w:top w:val="single" w:sz="2" w:space="0" w:color="E5E7EB"/>
                                                                            <w:left w:val="single" w:sz="2" w:space="0" w:color="E5E7EB"/>
                                                                            <w:bottom w:val="single" w:sz="2" w:space="0" w:color="E5E7EB"/>
                                                                            <w:right w:val="single" w:sz="2" w:space="0" w:color="E5E7EB"/>
                                                                          </w:divBdr>
                                                                          <w:divsChild>
                                                                            <w:div w:id="699016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0859006">
                                                                          <w:marLeft w:val="0"/>
                                                                          <w:marRight w:val="0"/>
                                                                          <w:marTop w:val="0"/>
                                                                          <w:marBottom w:val="0"/>
                                                                          <w:divBdr>
                                                                            <w:top w:val="single" w:sz="2" w:space="0" w:color="E5E7EB"/>
                                                                            <w:left w:val="single" w:sz="2" w:space="0" w:color="E5E7EB"/>
                                                                            <w:bottom w:val="single" w:sz="2" w:space="0" w:color="E5E7EB"/>
                                                                            <w:right w:val="single" w:sz="2" w:space="0" w:color="E5E7EB"/>
                                                                          </w:divBdr>
                                                                          <w:divsChild>
                                                                            <w:div w:id="602803559">
                                                                              <w:marLeft w:val="0"/>
                                                                              <w:marRight w:val="0"/>
                                                                              <w:marTop w:val="0"/>
                                                                              <w:marBottom w:val="0"/>
                                                                              <w:divBdr>
                                                                                <w:top w:val="single" w:sz="2" w:space="0" w:color="E5E7EB"/>
                                                                                <w:left w:val="single" w:sz="2" w:space="0" w:color="E5E7EB"/>
                                                                                <w:bottom w:val="single" w:sz="2" w:space="0" w:color="E5E7EB"/>
                                                                                <w:right w:val="single" w:sz="2" w:space="0" w:color="E5E7EB"/>
                                                                              </w:divBdr>
                                                                              <w:divsChild>
                                                                                <w:div w:id="821191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5331879">
                                                                          <w:marLeft w:val="0"/>
                                                                          <w:marRight w:val="0"/>
                                                                          <w:marTop w:val="0"/>
                                                                          <w:marBottom w:val="0"/>
                                                                          <w:divBdr>
                                                                            <w:top w:val="single" w:sz="2" w:space="0" w:color="E5E7EB"/>
                                                                            <w:left w:val="single" w:sz="2" w:space="0" w:color="E5E7EB"/>
                                                                            <w:bottom w:val="single" w:sz="2" w:space="0" w:color="E5E7EB"/>
                                                                            <w:right w:val="single" w:sz="2" w:space="0" w:color="E5E7EB"/>
                                                                          </w:divBdr>
                                                                          <w:divsChild>
                                                                            <w:div w:id="2101098372">
                                                                              <w:marLeft w:val="0"/>
                                                                              <w:marRight w:val="0"/>
                                                                              <w:marTop w:val="0"/>
                                                                              <w:marBottom w:val="0"/>
                                                                              <w:divBdr>
                                                                                <w:top w:val="single" w:sz="2" w:space="0" w:color="E5E7EB"/>
                                                                                <w:left w:val="single" w:sz="2" w:space="0" w:color="E5E7EB"/>
                                                                                <w:bottom w:val="single" w:sz="2" w:space="0" w:color="E5E7EB"/>
                                                                                <w:right w:val="single" w:sz="2" w:space="0" w:color="E5E7EB"/>
                                                                              </w:divBdr>
                                                                              <w:divsChild>
                                                                                <w:div w:id="8938593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385697">
      <w:bodyDiv w:val="1"/>
      <w:marLeft w:val="0"/>
      <w:marRight w:val="0"/>
      <w:marTop w:val="0"/>
      <w:marBottom w:val="0"/>
      <w:divBdr>
        <w:top w:val="none" w:sz="0" w:space="0" w:color="auto"/>
        <w:left w:val="none" w:sz="0" w:space="0" w:color="auto"/>
        <w:bottom w:val="none" w:sz="0" w:space="0" w:color="auto"/>
        <w:right w:val="none" w:sz="0" w:space="0" w:color="auto"/>
      </w:divBdr>
      <w:divsChild>
        <w:div w:id="49430023">
          <w:marLeft w:val="0"/>
          <w:marRight w:val="0"/>
          <w:marTop w:val="0"/>
          <w:marBottom w:val="0"/>
          <w:divBdr>
            <w:top w:val="single" w:sz="2" w:space="0" w:color="auto"/>
            <w:left w:val="single" w:sz="2" w:space="4" w:color="auto"/>
            <w:bottom w:val="single" w:sz="2" w:space="0" w:color="auto"/>
            <w:right w:val="single" w:sz="2" w:space="4" w:color="auto"/>
          </w:divBdr>
        </w:div>
      </w:divsChild>
    </w:div>
    <w:div w:id="848982868">
      <w:bodyDiv w:val="1"/>
      <w:marLeft w:val="0"/>
      <w:marRight w:val="0"/>
      <w:marTop w:val="0"/>
      <w:marBottom w:val="0"/>
      <w:divBdr>
        <w:top w:val="none" w:sz="0" w:space="0" w:color="auto"/>
        <w:left w:val="none" w:sz="0" w:space="0" w:color="auto"/>
        <w:bottom w:val="none" w:sz="0" w:space="0" w:color="auto"/>
        <w:right w:val="none" w:sz="0" w:space="0" w:color="auto"/>
      </w:divBdr>
    </w:div>
    <w:div w:id="854996507">
      <w:bodyDiv w:val="1"/>
      <w:marLeft w:val="0"/>
      <w:marRight w:val="0"/>
      <w:marTop w:val="0"/>
      <w:marBottom w:val="0"/>
      <w:divBdr>
        <w:top w:val="none" w:sz="0" w:space="0" w:color="auto"/>
        <w:left w:val="none" w:sz="0" w:space="0" w:color="auto"/>
        <w:bottom w:val="none" w:sz="0" w:space="0" w:color="auto"/>
        <w:right w:val="none" w:sz="0" w:space="0" w:color="auto"/>
      </w:divBdr>
    </w:div>
    <w:div w:id="861743416">
      <w:bodyDiv w:val="1"/>
      <w:marLeft w:val="0"/>
      <w:marRight w:val="0"/>
      <w:marTop w:val="0"/>
      <w:marBottom w:val="0"/>
      <w:divBdr>
        <w:top w:val="none" w:sz="0" w:space="0" w:color="auto"/>
        <w:left w:val="none" w:sz="0" w:space="0" w:color="auto"/>
        <w:bottom w:val="none" w:sz="0" w:space="0" w:color="auto"/>
        <w:right w:val="none" w:sz="0" w:space="0" w:color="auto"/>
      </w:divBdr>
    </w:div>
    <w:div w:id="870260225">
      <w:bodyDiv w:val="1"/>
      <w:marLeft w:val="0"/>
      <w:marRight w:val="0"/>
      <w:marTop w:val="0"/>
      <w:marBottom w:val="0"/>
      <w:divBdr>
        <w:top w:val="none" w:sz="0" w:space="0" w:color="auto"/>
        <w:left w:val="none" w:sz="0" w:space="0" w:color="auto"/>
        <w:bottom w:val="none" w:sz="0" w:space="0" w:color="auto"/>
        <w:right w:val="none" w:sz="0" w:space="0" w:color="auto"/>
      </w:divBdr>
    </w:div>
    <w:div w:id="871261261">
      <w:bodyDiv w:val="1"/>
      <w:marLeft w:val="0"/>
      <w:marRight w:val="0"/>
      <w:marTop w:val="0"/>
      <w:marBottom w:val="0"/>
      <w:divBdr>
        <w:top w:val="none" w:sz="0" w:space="0" w:color="auto"/>
        <w:left w:val="none" w:sz="0" w:space="0" w:color="auto"/>
        <w:bottom w:val="none" w:sz="0" w:space="0" w:color="auto"/>
        <w:right w:val="none" w:sz="0" w:space="0" w:color="auto"/>
      </w:divBdr>
    </w:div>
    <w:div w:id="905066847">
      <w:bodyDiv w:val="1"/>
      <w:marLeft w:val="0"/>
      <w:marRight w:val="0"/>
      <w:marTop w:val="0"/>
      <w:marBottom w:val="0"/>
      <w:divBdr>
        <w:top w:val="none" w:sz="0" w:space="0" w:color="auto"/>
        <w:left w:val="none" w:sz="0" w:space="0" w:color="auto"/>
        <w:bottom w:val="none" w:sz="0" w:space="0" w:color="auto"/>
        <w:right w:val="none" w:sz="0" w:space="0" w:color="auto"/>
      </w:divBdr>
    </w:div>
    <w:div w:id="985476842">
      <w:bodyDiv w:val="1"/>
      <w:marLeft w:val="0"/>
      <w:marRight w:val="0"/>
      <w:marTop w:val="0"/>
      <w:marBottom w:val="0"/>
      <w:divBdr>
        <w:top w:val="none" w:sz="0" w:space="0" w:color="auto"/>
        <w:left w:val="none" w:sz="0" w:space="0" w:color="auto"/>
        <w:bottom w:val="none" w:sz="0" w:space="0" w:color="auto"/>
        <w:right w:val="none" w:sz="0" w:space="0" w:color="auto"/>
      </w:divBdr>
    </w:div>
    <w:div w:id="993798798">
      <w:bodyDiv w:val="1"/>
      <w:marLeft w:val="0"/>
      <w:marRight w:val="0"/>
      <w:marTop w:val="0"/>
      <w:marBottom w:val="0"/>
      <w:divBdr>
        <w:top w:val="none" w:sz="0" w:space="0" w:color="auto"/>
        <w:left w:val="none" w:sz="0" w:space="0" w:color="auto"/>
        <w:bottom w:val="none" w:sz="0" w:space="0" w:color="auto"/>
        <w:right w:val="none" w:sz="0" w:space="0" w:color="auto"/>
      </w:divBdr>
    </w:div>
    <w:div w:id="1012801740">
      <w:bodyDiv w:val="1"/>
      <w:marLeft w:val="0"/>
      <w:marRight w:val="0"/>
      <w:marTop w:val="0"/>
      <w:marBottom w:val="0"/>
      <w:divBdr>
        <w:top w:val="none" w:sz="0" w:space="0" w:color="auto"/>
        <w:left w:val="none" w:sz="0" w:space="0" w:color="auto"/>
        <w:bottom w:val="none" w:sz="0" w:space="0" w:color="auto"/>
        <w:right w:val="none" w:sz="0" w:space="0" w:color="auto"/>
      </w:divBdr>
    </w:div>
    <w:div w:id="1030841573">
      <w:bodyDiv w:val="1"/>
      <w:marLeft w:val="0"/>
      <w:marRight w:val="0"/>
      <w:marTop w:val="0"/>
      <w:marBottom w:val="0"/>
      <w:divBdr>
        <w:top w:val="none" w:sz="0" w:space="0" w:color="auto"/>
        <w:left w:val="none" w:sz="0" w:space="0" w:color="auto"/>
        <w:bottom w:val="none" w:sz="0" w:space="0" w:color="auto"/>
        <w:right w:val="none" w:sz="0" w:space="0" w:color="auto"/>
      </w:divBdr>
      <w:divsChild>
        <w:div w:id="934939620">
          <w:marLeft w:val="0"/>
          <w:marRight w:val="0"/>
          <w:marTop w:val="0"/>
          <w:marBottom w:val="0"/>
          <w:divBdr>
            <w:top w:val="none" w:sz="0" w:space="0" w:color="auto"/>
            <w:left w:val="none" w:sz="0" w:space="0" w:color="auto"/>
            <w:bottom w:val="none" w:sz="0" w:space="0" w:color="auto"/>
            <w:right w:val="none" w:sz="0" w:space="0" w:color="auto"/>
          </w:divBdr>
        </w:div>
        <w:div w:id="1552956498">
          <w:marLeft w:val="0"/>
          <w:marRight w:val="0"/>
          <w:marTop w:val="0"/>
          <w:marBottom w:val="0"/>
          <w:divBdr>
            <w:top w:val="none" w:sz="0" w:space="0" w:color="auto"/>
            <w:left w:val="none" w:sz="0" w:space="0" w:color="auto"/>
            <w:bottom w:val="none" w:sz="0" w:space="0" w:color="auto"/>
            <w:right w:val="none" w:sz="0" w:space="0" w:color="auto"/>
          </w:divBdr>
        </w:div>
        <w:div w:id="1610896265">
          <w:marLeft w:val="0"/>
          <w:marRight w:val="0"/>
          <w:marTop w:val="0"/>
          <w:marBottom w:val="0"/>
          <w:divBdr>
            <w:top w:val="none" w:sz="0" w:space="0" w:color="auto"/>
            <w:left w:val="none" w:sz="0" w:space="0" w:color="auto"/>
            <w:bottom w:val="none" w:sz="0" w:space="0" w:color="auto"/>
            <w:right w:val="none" w:sz="0" w:space="0" w:color="auto"/>
          </w:divBdr>
        </w:div>
      </w:divsChild>
    </w:div>
    <w:div w:id="1032533486">
      <w:bodyDiv w:val="1"/>
      <w:marLeft w:val="0"/>
      <w:marRight w:val="0"/>
      <w:marTop w:val="0"/>
      <w:marBottom w:val="0"/>
      <w:divBdr>
        <w:top w:val="none" w:sz="0" w:space="0" w:color="auto"/>
        <w:left w:val="none" w:sz="0" w:space="0" w:color="auto"/>
        <w:bottom w:val="none" w:sz="0" w:space="0" w:color="auto"/>
        <w:right w:val="none" w:sz="0" w:space="0" w:color="auto"/>
      </w:divBdr>
    </w:div>
    <w:div w:id="1045569214">
      <w:bodyDiv w:val="1"/>
      <w:marLeft w:val="0"/>
      <w:marRight w:val="0"/>
      <w:marTop w:val="0"/>
      <w:marBottom w:val="0"/>
      <w:divBdr>
        <w:top w:val="none" w:sz="0" w:space="0" w:color="auto"/>
        <w:left w:val="none" w:sz="0" w:space="0" w:color="auto"/>
        <w:bottom w:val="none" w:sz="0" w:space="0" w:color="auto"/>
        <w:right w:val="none" w:sz="0" w:space="0" w:color="auto"/>
      </w:divBdr>
    </w:div>
    <w:div w:id="1049692132">
      <w:bodyDiv w:val="1"/>
      <w:marLeft w:val="0"/>
      <w:marRight w:val="0"/>
      <w:marTop w:val="0"/>
      <w:marBottom w:val="0"/>
      <w:divBdr>
        <w:top w:val="none" w:sz="0" w:space="0" w:color="auto"/>
        <w:left w:val="none" w:sz="0" w:space="0" w:color="auto"/>
        <w:bottom w:val="none" w:sz="0" w:space="0" w:color="auto"/>
        <w:right w:val="none" w:sz="0" w:space="0" w:color="auto"/>
      </w:divBdr>
    </w:div>
    <w:div w:id="1054038994">
      <w:bodyDiv w:val="1"/>
      <w:marLeft w:val="0"/>
      <w:marRight w:val="0"/>
      <w:marTop w:val="0"/>
      <w:marBottom w:val="0"/>
      <w:divBdr>
        <w:top w:val="none" w:sz="0" w:space="0" w:color="auto"/>
        <w:left w:val="none" w:sz="0" w:space="0" w:color="auto"/>
        <w:bottom w:val="none" w:sz="0" w:space="0" w:color="auto"/>
        <w:right w:val="none" w:sz="0" w:space="0" w:color="auto"/>
      </w:divBdr>
    </w:div>
    <w:div w:id="1056858019">
      <w:bodyDiv w:val="1"/>
      <w:marLeft w:val="0"/>
      <w:marRight w:val="0"/>
      <w:marTop w:val="0"/>
      <w:marBottom w:val="0"/>
      <w:divBdr>
        <w:top w:val="none" w:sz="0" w:space="0" w:color="auto"/>
        <w:left w:val="none" w:sz="0" w:space="0" w:color="auto"/>
        <w:bottom w:val="none" w:sz="0" w:space="0" w:color="auto"/>
        <w:right w:val="none" w:sz="0" w:space="0" w:color="auto"/>
      </w:divBdr>
    </w:div>
    <w:div w:id="1078598682">
      <w:bodyDiv w:val="1"/>
      <w:marLeft w:val="0"/>
      <w:marRight w:val="0"/>
      <w:marTop w:val="0"/>
      <w:marBottom w:val="0"/>
      <w:divBdr>
        <w:top w:val="none" w:sz="0" w:space="0" w:color="auto"/>
        <w:left w:val="none" w:sz="0" w:space="0" w:color="auto"/>
        <w:bottom w:val="none" w:sz="0" w:space="0" w:color="auto"/>
        <w:right w:val="none" w:sz="0" w:space="0" w:color="auto"/>
      </w:divBdr>
    </w:div>
    <w:div w:id="1094937916">
      <w:bodyDiv w:val="1"/>
      <w:marLeft w:val="0"/>
      <w:marRight w:val="0"/>
      <w:marTop w:val="0"/>
      <w:marBottom w:val="0"/>
      <w:divBdr>
        <w:top w:val="none" w:sz="0" w:space="0" w:color="auto"/>
        <w:left w:val="none" w:sz="0" w:space="0" w:color="auto"/>
        <w:bottom w:val="none" w:sz="0" w:space="0" w:color="auto"/>
        <w:right w:val="none" w:sz="0" w:space="0" w:color="auto"/>
      </w:divBdr>
    </w:div>
    <w:div w:id="1116485949">
      <w:bodyDiv w:val="1"/>
      <w:marLeft w:val="0"/>
      <w:marRight w:val="0"/>
      <w:marTop w:val="0"/>
      <w:marBottom w:val="0"/>
      <w:divBdr>
        <w:top w:val="none" w:sz="0" w:space="0" w:color="auto"/>
        <w:left w:val="none" w:sz="0" w:space="0" w:color="auto"/>
        <w:bottom w:val="none" w:sz="0" w:space="0" w:color="auto"/>
        <w:right w:val="none" w:sz="0" w:space="0" w:color="auto"/>
      </w:divBdr>
      <w:divsChild>
        <w:div w:id="1355619323">
          <w:marLeft w:val="0"/>
          <w:marRight w:val="0"/>
          <w:marTop w:val="0"/>
          <w:marBottom w:val="0"/>
          <w:divBdr>
            <w:top w:val="single" w:sz="2" w:space="0" w:color="E5E7EB"/>
            <w:left w:val="single" w:sz="2" w:space="0" w:color="E5E7EB"/>
            <w:bottom w:val="single" w:sz="2" w:space="0" w:color="E5E7EB"/>
            <w:right w:val="single" w:sz="2" w:space="0" w:color="E5E7EB"/>
          </w:divBdr>
          <w:divsChild>
            <w:div w:id="521289708">
              <w:marLeft w:val="0"/>
              <w:marRight w:val="0"/>
              <w:marTop w:val="0"/>
              <w:marBottom w:val="0"/>
              <w:divBdr>
                <w:top w:val="none" w:sz="0" w:space="0" w:color="auto"/>
                <w:left w:val="none" w:sz="0" w:space="0" w:color="auto"/>
                <w:bottom w:val="none" w:sz="0" w:space="0" w:color="auto"/>
                <w:right w:val="none" w:sz="0" w:space="0" w:color="auto"/>
              </w:divBdr>
              <w:divsChild>
                <w:div w:id="1501501235">
                  <w:marLeft w:val="0"/>
                  <w:marRight w:val="0"/>
                  <w:marTop w:val="0"/>
                  <w:marBottom w:val="0"/>
                  <w:divBdr>
                    <w:top w:val="none" w:sz="0" w:space="0" w:color="auto"/>
                    <w:left w:val="none" w:sz="0" w:space="0" w:color="auto"/>
                    <w:bottom w:val="none" w:sz="0" w:space="0" w:color="auto"/>
                    <w:right w:val="none" w:sz="0" w:space="0" w:color="auto"/>
                  </w:divBdr>
                  <w:divsChild>
                    <w:div w:id="1346904219">
                      <w:marLeft w:val="0"/>
                      <w:marRight w:val="0"/>
                      <w:marTop w:val="0"/>
                      <w:marBottom w:val="0"/>
                      <w:divBdr>
                        <w:top w:val="single" w:sz="2" w:space="0" w:color="E5E7EB"/>
                        <w:left w:val="single" w:sz="2" w:space="0" w:color="E5E7EB"/>
                        <w:bottom w:val="single" w:sz="2" w:space="0" w:color="E5E7EB"/>
                        <w:right w:val="single" w:sz="2" w:space="0" w:color="E5E7EB"/>
                      </w:divBdr>
                      <w:divsChild>
                        <w:div w:id="1755272904">
                          <w:marLeft w:val="0"/>
                          <w:marRight w:val="0"/>
                          <w:marTop w:val="0"/>
                          <w:marBottom w:val="0"/>
                          <w:divBdr>
                            <w:top w:val="single" w:sz="2" w:space="0" w:color="E5E7EB"/>
                            <w:left w:val="single" w:sz="2" w:space="0" w:color="E5E7EB"/>
                            <w:bottom w:val="single" w:sz="2" w:space="0" w:color="E5E7EB"/>
                            <w:right w:val="single" w:sz="2" w:space="0" w:color="E5E7EB"/>
                          </w:divBdr>
                          <w:divsChild>
                            <w:div w:id="1439713985">
                              <w:marLeft w:val="0"/>
                              <w:marRight w:val="0"/>
                              <w:marTop w:val="0"/>
                              <w:marBottom w:val="0"/>
                              <w:divBdr>
                                <w:top w:val="single" w:sz="2" w:space="0" w:color="E5E7EB"/>
                                <w:left w:val="single" w:sz="2" w:space="0" w:color="E5E7EB"/>
                                <w:bottom w:val="single" w:sz="2" w:space="0" w:color="E5E7EB"/>
                                <w:right w:val="single" w:sz="2" w:space="0" w:color="E5E7EB"/>
                              </w:divBdr>
                              <w:divsChild>
                                <w:div w:id="315186161">
                                  <w:marLeft w:val="0"/>
                                  <w:marRight w:val="0"/>
                                  <w:marTop w:val="0"/>
                                  <w:marBottom w:val="0"/>
                                  <w:divBdr>
                                    <w:top w:val="none" w:sz="0" w:space="0" w:color="auto"/>
                                    <w:left w:val="none" w:sz="0" w:space="0" w:color="auto"/>
                                    <w:bottom w:val="none" w:sz="0" w:space="0" w:color="auto"/>
                                    <w:right w:val="none" w:sz="0" w:space="0" w:color="auto"/>
                                  </w:divBdr>
                                  <w:divsChild>
                                    <w:div w:id="1168666899">
                                      <w:marLeft w:val="0"/>
                                      <w:marRight w:val="0"/>
                                      <w:marTop w:val="0"/>
                                      <w:marBottom w:val="0"/>
                                      <w:divBdr>
                                        <w:top w:val="single" w:sz="2" w:space="0" w:color="E5E7EB"/>
                                        <w:left w:val="single" w:sz="2" w:space="12" w:color="E5E7EB"/>
                                        <w:bottom w:val="single" w:sz="2" w:space="0" w:color="E5E7EB"/>
                                        <w:right w:val="single" w:sz="2" w:space="12" w:color="E5E7EB"/>
                                      </w:divBdr>
                                      <w:divsChild>
                                        <w:div w:id="1936743102">
                                          <w:marLeft w:val="0"/>
                                          <w:marRight w:val="0"/>
                                          <w:marTop w:val="0"/>
                                          <w:marBottom w:val="0"/>
                                          <w:divBdr>
                                            <w:top w:val="single" w:sz="2" w:space="0" w:color="E5E7EB"/>
                                            <w:left w:val="single" w:sz="2" w:space="0" w:color="E5E7EB"/>
                                            <w:bottom w:val="single" w:sz="2" w:space="0" w:color="E5E7EB"/>
                                            <w:right w:val="single" w:sz="2" w:space="0" w:color="E5E7EB"/>
                                          </w:divBdr>
                                          <w:divsChild>
                                            <w:div w:id="1569343072">
                                              <w:marLeft w:val="0"/>
                                              <w:marRight w:val="0"/>
                                              <w:marTop w:val="0"/>
                                              <w:marBottom w:val="0"/>
                                              <w:divBdr>
                                                <w:top w:val="single" w:sz="2" w:space="0" w:color="E5E7EB"/>
                                                <w:left w:val="single" w:sz="2" w:space="0" w:color="E5E7EB"/>
                                                <w:bottom w:val="single" w:sz="2" w:space="0" w:color="E5E7EB"/>
                                                <w:right w:val="single" w:sz="2" w:space="0" w:color="E5E7EB"/>
                                              </w:divBdr>
                                              <w:divsChild>
                                                <w:div w:id="436172604">
                                                  <w:marLeft w:val="0"/>
                                                  <w:marRight w:val="0"/>
                                                  <w:marTop w:val="0"/>
                                                  <w:marBottom w:val="0"/>
                                                  <w:divBdr>
                                                    <w:top w:val="single" w:sz="2" w:space="0" w:color="E5E7EB"/>
                                                    <w:left w:val="single" w:sz="2" w:space="0" w:color="E5E7EB"/>
                                                    <w:bottom w:val="single" w:sz="2" w:space="0" w:color="E5E7EB"/>
                                                    <w:right w:val="single" w:sz="2" w:space="0" w:color="E5E7EB"/>
                                                  </w:divBdr>
                                                  <w:divsChild>
                                                    <w:div w:id="485783447">
                                                      <w:marLeft w:val="0"/>
                                                      <w:marRight w:val="0"/>
                                                      <w:marTop w:val="0"/>
                                                      <w:marBottom w:val="0"/>
                                                      <w:divBdr>
                                                        <w:top w:val="single" w:sz="2" w:space="0" w:color="E5E7EB"/>
                                                        <w:left w:val="single" w:sz="2" w:space="0" w:color="E5E7EB"/>
                                                        <w:bottom w:val="single" w:sz="2" w:space="0" w:color="E5E7EB"/>
                                                        <w:right w:val="single" w:sz="2" w:space="0" w:color="E5E7EB"/>
                                                      </w:divBdr>
                                                      <w:divsChild>
                                                        <w:div w:id="6563300">
                                                          <w:marLeft w:val="0"/>
                                                          <w:marRight w:val="0"/>
                                                          <w:marTop w:val="0"/>
                                                          <w:marBottom w:val="0"/>
                                                          <w:divBdr>
                                                            <w:top w:val="none" w:sz="0" w:space="0" w:color="auto"/>
                                                            <w:left w:val="none" w:sz="0" w:space="0" w:color="auto"/>
                                                            <w:bottom w:val="none" w:sz="0" w:space="0" w:color="auto"/>
                                                            <w:right w:val="none" w:sz="0" w:space="0" w:color="auto"/>
                                                          </w:divBdr>
                                                          <w:divsChild>
                                                            <w:div w:id="1894733229">
                                                              <w:marLeft w:val="0"/>
                                                              <w:marRight w:val="0"/>
                                                              <w:marTop w:val="0"/>
                                                              <w:marBottom w:val="0"/>
                                                              <w:divBdr>
                                                                <w:top w:val="single" w:sz="2" w:space="0" w:color="E5E7EB"/>
                                                                <w:left w:val="single" w:sz="2" w:space="0" w:color="E5E7EB"/>
                                                                <w:bottom w:val="single" w:sz="2" w:space="0" w:color="E5E7EB"/>
                                                                <w:right w:val="single" w:sz="2" w:space="0" w:color="E5E7EB"/>
                                                              </w:divBdr>
                                                              <w:divsChild>
                                                                <w:div w:id="74860169">
                                                                  <w:marLeft w:val="0"/>
                                                                  <w:marRight w:val="0"/>
                                                                  <w:marTop w:val="0"/>
                                                                  <w:marBottom w:val="0"/>
                                                                  <w:divBdr>
                                                                    <w:top w:val="single" w:sz="2" w:space="0" w:color="E5E7EB"/>
                                                                    <w:left w:val="single" w:sz="2" w:space="0" w:color="E5E7EB"/>
                                                                    <w:bottom w:val="single" w:sz="2" w:space="0" w:color="E5E7EB"/>
                                                                    <w:right w:val="single" w:sz="2" w:space="0" w:color="E5E7EB"/>
                                                                  </w:divBdr>
                                                                  <w:divsChild>
                                                                    <w:div w:id="1455252984">
                                                                      <w:marLeft w:val="0"/>
                                                                      <w:marRight w:val="0"/>
                                                                      <w:marTop w:val="0"/>
                                                                      <w:marBottom w:val="0"/>
                                                                      <w:divBdr>
                                                                        <w:top w:val="single" w:sz="2" w:space="0" w:color="E5E7EB"/>
                                                                        <w:left w:val="single" w:sz="2" w:space="0" w:color="E5E7EB"/>
                                                                        <w:bottom w:val="single" w:sz="2" w:space="0" w:color="E5E7EB"/>
                                                                        <w:right w:val="single" w:sz="2" w:space="0" w:color="E5E7EB"/>
                                                                      </w:divBdr>
                                                                      <w:divsChild>
                                                                        <w:div w:id="1782676738">
                                                                          <w:marLeft w:val="0"/>
                                                                          <w:marRight w:val="0"/>
                                                                          <w:marTop w:val="0"/>
                                                                          <w:marBottom w:val="0"/>
                                                                          <w:divBdr>
                                                                            <w:top w:val="single" w:sz="2" w:space="0" w:color="E5E7EB"/>
                                                                            <w:left w:val="single" w:sz="2" w:space="0" w:color="E5E7EB"/>
                                                                            <w:bottom w:val="single" w:sz="2" w:space="0" w:color="E5E7EB"/>
                                                                            <w:right w:val="single" w:sz="2" w:space="0" w:color="E5E7EB"/>
                                                                          </w:divBdr>
                                                                          <w:divsChild>
                                                                            <w:div w:id="1599366634">
                                                                              <w:marLeft w:val="0"/>
                                                                              <w:marRight w:val="0"/>
                                                                              <w:marTop w:val="0"/>
                                                                              <w:marBottom w:val="0"/>
                                                                              <w:divBdr>
                                                                                <w:top w:val="single" w:sz="2" w:space="0" w:color="E5E7EB"/>
                                                                                <w:left w:val="single" w:sz="2" w:space="0" w:color="E5E7EB"/>
                                                                                <w:bottom w:val="single" w:sz="2" w:space="0" w:color="E5E7EB"/>
                                                                                <w:right w:val="single" w:sz="2" w:space="0" w:color="E5E7EB"/>
                                                                              </w:divBdr>
                                                                              <w:divsChild>
                                                                                <w:div w:id="1197542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97934619">
                                                                  <w:marLeft w:val="0"/>
                                                                  <w:marRight w:val="0"/>
                                                                  <w:marTop w:val="0"/>
                                                                  <w:marBottom w:val="0"/>
                                                                  <w:divBdr>
                                                                    <w:top w:val="single" w:sz="2" w:space="0" w:color="E5E7EB"/>
                                                                    <w:left w:val="single" w:sz="2" w:space="0" w:color="E5E7EB"/>
                                                                    <w:bottom w:val="single" w:sz="2" w:space="0" w:color="E5E7EB"/>
                                                                    <w:right w:val="single" w:sz="2" w:space="0" w:color="E5E7EB"/>
                                                                  </w:divBdr>
                                                                  <w:divsChild>
                                                                    <w:div w:id="1772554529">
                                                                      <w:marLeft w:val="-120"/>
                                                                      <w:marRight w:val="0"/>
                                                                      <w:marTop w:val="0"/>
                                                                      <w:marBottom w:val="0"/>
                                                                      <w:divBdr>
                                                                        <w:top w:val="single" w:sz="2" w:space="0" w:color="E5E7EB"/>
                                                                        <w:left w:val="single" w:sz="2" w:space="0" w:color="E5E7EB"/>
                                                                        <w:bottom w:val="single" w:sz="2" w:space="0" w:color="E5E7EB"/>
                                                                        <w:right w:val="single" w:sz="2" w:space="0" w:color="E5E7EB"/>
                                                                      </w:divBdr>
                                                                      <w:divsChild>
                                                                        <w:div w:id="182942977">
                                                                          <w:marLeft w:val="0"/>
                                                                          <w:marRight w:val="0"/>
                                                                          <w:marTop w:val="0"/>
                                                                          <w:marBottom w:val="0"/>
                                                                          <w:divBdr>
                                                                            <w:top w:val="single" w:sz="2" w:space="0" w:color="E5E7EB"/>
                                                                            <w:left w:val="single" w:sz="2" w:space="0" w:color="E5E7EB"/>
                                                                            <w:bottom w:val="single" w:sz="2" w:space="0" w:color="E5E7EB"/>
                                                                            <w:right w:val="single" w:sz="2" w:space="0" w:color="E5E7EB"/>
                                                                          </w:divBdr>
                                                                          <w:divsChild>
                                                                            <w:div w:id="171072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4803977">
                                                                          <w:marLeft w:val="0"/>
                                                                          <w:marRight w:val="0"/>
                                                                          <w:marTop w:val="0"/>
                                                                          <w:marBottom w:val="0"/>
                                                                          <w:divBdr>
                                                                            <w:top w:val="single" w:sz="2" w:space="0" w:color="E5E7EB"/>
                                                                            <w:left w:val="single" w:sz="2" w:space="0" w:color="E5E7EB"/>
                                                                            <w:bottom w:val="single" w:sz="2" w:space="0" w:color="E5E7EB"/>
                                                                            <w:right w:val="single" w:sz="2" w:space="0" w:color="E5E7EB"/>
                                                                          </w:divBdr>
                                                                          <w:divsChild>
                                                                            <w:div w:id="1719234420">
                                                                              <w:marLeft w:val="0"/>
                                                                              <w:marRight w:val="0"/>
                                                                              <w:marTop w:val="0"/>
                                                                              <w:marBottom w:val="0"/>
                                                                              <w:divBdr>
                                                                                <w:top w:val="single" w:sz="2" w:space="0" w:color="E5E7EB"/>
                                                                                <w:left w:val="single" w:sz="2" w:space="0" w:color="E5E7EB"/>
                                                                                <w:bottom w:val="single" w:sz="2" w:space="0" w:color="E5E7EB"/>
                                                                                <w:right w:val="single" w:sz="2" w:space="0" w:color="E5E7EB"/>
                                                                              </w:divBdr>
                                                                              <w:divsChild>
                                                                                <w:div w:id="888608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7159411">
                                                                          <w:marLeft w:val="0"/>
                                                                          <w:marRight w:val="0"/>
                                                                          <w:marTop w:val="0"/>
                                                                          <w:marBottom w:val="0"/>
                                                                          <w:divBdr>
                                                                            <w:top w:val="single" w:sz="2" w:space="0" w:color="E5E7EB"/>
                                                                            <w:left w:val="single" w:sz="2" w:space="0" w:color="E5E7EB"/>
                                                                            <w:bottom w:val="single" w:sz="2" w:space="0" w:color="E5E7EB"/>
                                                                            <w:right w:val="single" w:sz="2" w:space="0" w:color="E5E7EB"/>
                                                                          </w:divBdr>
                                                                          <w:divsChild>
                                                                            <w:div w:id="2027559122">
                                                                              <w:marLeft w:val="0"/>
                                                                              <w:marRight w:val="0"/>
                                                                              <w:marTop w:val="0"/>
                                                                              <w:marBottom w:val="0"/>
                                                                              <w:divBdr>
                                                                                <w:top w:val="single" w:sz="2" w:space="0" w:color="E5E7EB"/>
                                                                                <w:left w:val="single" w:sz="2" w:space="0" w:color="E5E7EB"/>
                                                                                <w:bottom w:val="single" w:sz="2" w:space="0" w:color="E5E7EB"/>
                                                                                <w:right w:val="single" w:sz="2" w:space="0" w:color="E5E7EB"/>
                                                                              </w:divBdr>
                                                                              <w:divsChild>
                                                                                <w:div w:id="6753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219206">
      <w:bodyDiv w:val="1"/>
      <w:marLeft w:val="0"/>
      <w:marRight w:val="0"/>
      <w:marTop w:val="0"/>
      <w:marBottom w:val="0"/>
      <w:divBdr>
        <w:top w:val="none" w:sz="0" w:space="0" w:color="auto"/>
        <w:left w:val="none" w:sz="0" w:space="0" w:color="auto"/>
        <w:bottom w:val="none" w:sz="0" w:space="0" w:color="auto"/>
        <w:right w:val="none" w:sz="0" w:space="0" w:color="auto"/>
      </w:divBdr>
    </w:div>
    <w:div w:id="1292976908">
      <w:bodyDiv w:val="1"/>
      <w:marLeft w:val="0"/>
      <w:marRight w:val="0"/>
      <w:marTop w:val="0"/>
      <w:marBottom w:val="0"/>
      <w:divBdr>
        <w:top w:val="none" w:sz="0" w:space="0" w:color="auto"/>
        <w:left w:val="none" w:sz="0" w:space="0" w:color="auto"/>
        <w:bottom w:val="none" w:sz="0" w:space="0" w:color="auto"/>
        <w:right w:val="none" w:sz="0" w:space="0" w:color="auto"/>
      </w:divBdr>
    </w:div>
    <w:div w:id="1331330973">
      <w:bodyDiv w:val="1"/>
      <w:marLeft w:val="0"/>
      <w:marRight w:val="0"/>
      <w:marTop w:val="0"/>
      <w:marBottom w:val="0"/>
      <w:divBdr>
        <w:top w:val="none" w:sz="0" w:space="0" w:color="auto"/>
        <w:left w:val="none" w:sz="0" w:space="0" w:color="auto"/>
        <w:bottom w:val="none" w:sz="0" w:space="0" w:color="auto"/>
        <w:right w:val="none" w:sz="0" w:space="0" w:color="auto"/>
      </w:divBdr>
    </w:div>
    <w:div w:id="1335960524">
      <w:bodyDiv w:val="1"/>
      <w:marLeft w:val="0"/>
      <w:marRight w:val="0"/>
      <w:marTop w:val="0"/>
      <w:marBottom w:val="0"/>
      <w:divBdr>
        <w:top w:val="none" w:sz="0" w:space="0" w:color="auto"/>
        <w:left w:val="none" w:sz="0" w:space="0" w:color="auto"/>
        <w:bottom w:val="none" w:sz="0" w:space="0" w:color="auto"/>
        <w:right w:val="none" w:sz="0" w:space="0" w:color="auto"/>
      </w:divBdr>
    </w:div>
    <w:div w:id="1349914849">
      <w:bodyDiv w:val="1"/>
      <w:marLeft w:val="0"/>
      <w:marRight w:val="0"/>
      <w:marTop w:val="0"/>
      <w:marBottom w:val="0"/>
      <w:divBdr>
        <w:top w:val="none" w:sz="0" w:space="0" w:color="auto"/>
        <w:left w:val="none" w:sz="0" w:space="0" w:color="auto"/>
        <w:bottom w:val="none" w:sz="0" w:space="0" w:color="auto"/>
        <w:right w:val="none" w:sz="0" w:space="0" w:color="auto"/>
      </w:divBdr>
    </w:div>
    <w:div w:id="1376153794">
      <w:bodyDiv w:val="1"/>
      <w:marLeft w:val="0"/>
      <w:marRight w:val="0"/>
      <w:marTop w:val="0"/>
      <w:marBottom w:val="0"/>
      <w:divBdr>
        <w:top w:val="none" w:sz="0" w:space="0" w:color="auto"/>
        <w:left w:val="none" w:sz="0" w:space="0" w:color="auto"/>
        <w:bottom w:val="none" w:sz="0" w:space="0" w:color="auto"/>
        <w:right w:val="none" w:sz="0" w:space="0" w:color="auto"/>
      </w:divBdr>
    </w:div>
    <w:div w:id="1411540009">
      <w:bodyDiv w:val="1"/>
      <w:marLeft w:val="0"/>
      <w:marRight w:val="0"/>
      <w:marTop w:val="0"/>
      <w:marBottom w:val="0"/>
      <w:divBdr>
        <w:top w:val="none" w:sz="0" w:space="0" w:color="auto"/>
        <w:left w:val="none" w:sz="0" w:space="0" w:color="auto"/>
        <w:bottom w:val="none" w:sz="0" w:space="0" w:color="auto"/>
        <w:right w:val="none" w:sz="0" w:space="0" w:color="auto"/>
      </w:divBdr>
    </w:div>
    <w:div w:id="1448813465">
      <w:bodyDiv w:val="1"/>
      <w:marLeft w:val="0"/>
      <w:marRight w:val="0"/>
      <w:marTop w:val="0"/>
      <w:marBottom w:val="0"/>
      <w:divBdr>
        <w:top w:val="none" w:sz="0" w:space="0" w:color="auto"/>
        <w:left w:val="none" w:sz="0" w:space="0" w:color="auto"/>
        <w:bottom w:val="none" w:sz="0" w:space="0" w:color="auto"/>
        <w:right w:val="none" w:sz="0" w:space="0" w:color="auto"/>
      </w:divBdr>
    </w:div>
    <w:div w:id="1454401635">
      <w:bodyDiv w:val="1"/>
      <w:marLeft w:val="0"/>
      <w:marRight w:val="0"/>
      <w:marTop w:val="0"/>
      <w:marBottom w:val="0"/>
      <w:divBdr>
        <w:top w:val="none" w:sz="0" w:space="0" w:color="auto"/>
        <w:left w:val="none" w:sz="0" w:space="0" w:color="auto"/>
        <w:bottom w:val="none" w:sz="0" w:space="0" w:color="auto"/>
        <w:right w:val="none" w:sz="0" w:space="0" w:color="auto"/>
      </w:divBdr>
    </w:div>
    <w:div w:id="1499149574">
      <w:bodyDiv w:val="1"/>
      <w:marLeft w:val="0"/>
      <w:marRight w:val="0"/>
      <w:marTop w:val="0"/>
      <w:marBottom w:val="0"/>
      <w:divBdr>
        <w:top w:val="none" w:sz="0" w:space="0" w:color="auto"/>
        <w:left w:val="none" w:sz="0" w:space="0" w:color="auto"/>
        <w:bottom w:val="none" w:sz="0" w:space="0" w:color="auto"/>
        <w:right w:val="none" w:sz="0" w:space="0" w:color="auto"/>
      </w:divBdr>
    </w:div>
    <w:div w:id="1510219147">
      <w:bodyDiv w:val="1"/>
      <w:marLeft w:val="0"/>
      <w:marRight w:val="0"/>
      <w:marTop w:val="0"/>
      <w:marBottom w:val="0"/>
      <w:divBdr>
        <w:top w:val="none" w:sz="0" w:space="0" w:color="auto"/>
        <w:left w:val="none" w:sz="0" w:space="0" w:color="auto"/>
        <w:bottom w:val="none" w:sz="0" w:space="0" w:color="auto"/>
        <w:right w:val="none" w:sz="0" w:space="0" w:color="auto"/>
      </w:divBdr>
    </w:div>
    <w:div w:id="1527793299">
      <w:bodyDiv w:val="1"/>
      <w:marLeft w:val="0"/>
      <w:marRight w:val="0"/>
      <w:marTop w:val="0"/>
      <w:marBottom w:val="0"/>
      <w:divBdr>
        <w:top w:val="none" w:sz="0" w:space="0" w:color="auto"/>
        <w:left w:val="none" w:sz="0" w:space="0" w:color="auto"/>
        <w:bottom w:val="none" w:sz="0" w:space="0" w:color="auto"/>
        <w:right w:val="none" w:sz="0" w:space="0" w:color="auto"/>
      </w:divBdr>
    </w:div>
    <w:div w:id="1562014029">
      <w:bodyDiv w:val="1"/>
      <w:marLeft w:val="0"/>
      <w:marRight w:val="0"/>
      <w:marTop w:val="0"/>
      <w:marBottom w:val="0"/>
      <w:divBdr>
        <w:top w:val="none" w:sz="0" w:space="0" w:color="auto"/>
        <w:left w:val="none" w:sz="0" w:space="0" w:color="auto"/>
        <w:bottom w:val="none" w:sz="0" w:space="0" w:color="auto"/>
        <w:right w:val="none" w:sz="0" w:space="0" w:color="auto"/>
      </w:divBdr>
    </w:div>
    <w:div w:id="1593969385">
      <w:bodyDiv w:val="1"/>
      <w:marLeft w:val="0"/>
      <w:marRight w:val="0"/>
      <w:marTop w:val="0"/>
      <w:marBottom w:val="0"/>
      <w:divBdr>
        <w:top w:val="none" w:sz="0" w:space="0" w:color="auto"/>
        <w:left w:val="none" w:sz="0" w:space="0" w:color="auto"/>
        <w:bottom w:val="none" w:sz="0" w:space="0" w:color="auto"/>
        <w:right w:val="none" w:sz="0" w:space="0" w:color="auto"/>
      </w:divBdr>
    </w:div>
    <w:div w:id="1594245842">
      <w:bodyDiv w:val="1"/>
      <w:marLeft w:val="0"/>
      <w:marRight w:val="0"/>
      <w:marTop w:val="0"/>
      <w:marBottom w:val="0"/>
      <w:divBdr>
        <w:top w:val="none" w:sz="0" w:space="0" w:color="auto"/>
        <w:left w:val="none" w:sz="0" w:space="0" w:color="auto"/>
        <w:bottom w:val="none" w:sz="0" w:space="0" w:color="auto"/>
        <w:right w:val="none" w:sz="0" w:space="0" w:color="auto"/>
      </w:divBdr>
    </w:div>
    <w:div w:id="1614168876">
      <w:bodyDiv w:val="1"/>
      <w:marLeft w:val="0"/>
      <w:marRight w:val="0"/>
      <w:marTop w:val="0"/>
      <w:marBottom w:val="0"/>
      <w:divBdr>
        <w:top w:val="none" w:sz="0" w:space="0" w:color="auto"/>
        <w:left w:val="none" w:sz="0" w:space="0" w:color="auto"/>
        <w:bottom w:val="none" w:sz="0" w:space="0" w:color="auto"/>
        <w:right w:val="none" w:sz="0" w:space="0" w:color="auto"/>
      </w:divBdr>
    </w:div>
    <w:div w:id="1636643363">
      <w:bodyDiv w:val="1"/>
      <w:marLeft w:val="0"/>
      <w:marRight w:val="0"/>
      <w:marTop w:val="0"/>
      <w:marBottom w:val="0"/>
      <w:divBdr>
        <w:top w:val="none" w:sz="0" w:space="0" w:color="auto"/>
        <w:left w:val="none" w:sz="0" w:space="0" w:color="auto"/>
        <w:bottom w:val="none" w:sz="0" w:space="0" w:color="auto"/>
        <w:right w:val="none" w:sz="0" w:space="0" w:color="auto"/>
      </w:divBdr>
    </w:div>
    <w:div w:id="1647856517">
      <w:bodyDiv w:val="1"/>
      <w:marLeft w:val="0"/>
      <w:marRight w:val="0"/>
      <w:marTop w:val="0"/>
      <w:marBottom w:val="0"/>
      <w:divBdr>
        <w:top w:val="none" w:sz="0" w:space="0" w:color="auto"/>
        <w:left w:val="none" w:sz="0" w:space="0" w:color="auto"/>
        <w:bottom w:val="none" w:sz="0" w:space="0" w:color="auto"/>
        <w:right w:val="none" w:sz="0" w:space="0" w:color="auto"/>
      </w:divBdr>
    </w:div>
    <w:div w:id="1746102924">
      <w:bodyDiv w:val="1"/>
      <w:marLeft w:val="0"/>
      <w:marRight w:val="0"/>
      <w:marTop w:val="0"/>
      <w:marBottom w:val="0"/>
      <w:divBdr>
        <w:top w:val="none" w:sz="0" w:space="0" w:color="auto"/>
        <w:left w:val="none" w:sz="0" w:space="0" w:color="auto"/>
        <w:bottom w:val="none" w:sz="0" w:space="0" w:color="auto"/>
        <w:right w:val="none" w:sz="0" w:space="0" w:color="auto"/>
      </w:divBdr>
      <w:divsChild>
        <w:div w:id="399711876">
          <w:marLeft w:val="0"/>
          <w:marRight w:val="0"/>
          <w:marTop w:val="0"/>
          <w:marBottom w:val="0"/>
          <w:divBdr>
            <w:top w:val="single" w:sz="2" w:space="0" w:color="E5E7EB"/>
            <w:left w:val="single" w:sz="2" w:space="0" w:color="E5E7EB"/>
            <w:bottom w:val="single" w:sz="2" w:space="0" w:color="E5E7EB"/>
            <w:right w:val="single" w:sz="2" w:space="0" w:color="E5E7EB"/>
          </w:divBdr>
          <w:divsChild>
            <w:div w:id="1770857642">
              <w:marLeft w:val="0"/>
              <w:marRight w:val="0"/>
              <w:marTop w:val="0"/>
              <w:marBottom w:val="0"/>
              <w:divBdr>
                <w:top w:val="none" w:sz="0" w:space="0" w:color="auto"/>
                <w:left w:val="none" w:sz="0" w:space="0" w:color="auto"/>
                <w:bottom w:val="none" w:sz="0" w:space="0" w:color="auto"/>
                <w:right w:val="none" w:sz="0" w:space="0" w:color="auto"/>
              </w:divBdr>
              <w:divsChild>
                <w:div w:id="1597135174">
                  <w:marLeft w:val="0"/>
                  <w:marRight w:val="0"/>
                  <w:marTop w:val="0"/>
                  <w:marBottom w:val="0"/>
                  <w:divBdr>
                    <w:top w:val="none" w:sz="0" w:space="0" w:color="auto"/>
                    <w:left w:val="none" w:sz="0" w:space="0" w:color="auto"/>
                    <w:bottom w:val="none" w:sz="0" w:space="0" w:color="auto"/>
                    <w:right w:val="none" w:sz="0" w:space="0" w:color="auto"/>
                  </w:divBdr>
                  <w:divsChild>
                    <w:div w:id="1467773689">
                      <w:marLeft w:val="0"/>
                      <w:marRight w:val="0"/>
                      <w:marTop w:val="0"/>
                      <w:marBottom w:val="0"/>
                      <w:divBdr>
                        <w:top w:val="single" w:sz="2" w:space="0" w:color="E5E7EB"/>
                        <w:left w:val="single" w:sz="2" w:space="0" w:color="E5E7EB"/>
                        <w:bottom w:val="single" w:sz="2" w:space="0" w:color="E5E7EB"/>
                        <w:right w:val="single" w:sz="2" w:space="0" w:color="E5E7EB"/>
                      </w:divBdr>
                      <w:divsChild>
                        <w:div w:id="956566915">
                          <w:marLeft w:val="0"/>
                          <w:marRight w:val="0"/>
                          <w:marTop w:val="0"/>
                          <w:marBottom w:val="0"/>
                          <w:divBdr>
                            <w:top w:val="single" w:sz="2" w:space="0" w:color="E5E7EB"/>
                            <w:left w:val="single" w:sz="2" w:space="0" w:color="E5E7EB"/>
                            <w:bottom w:val="single" w:sz="2" w:space="0" w:color="E5E7EB"/>
                            <w:right w:val="single" w:sz="2" w:space="0" w:color="E5E7EB"/>
                          </w:divBdr>
                          <w:divsChild>
                            <w:div w:id="1383792962">
                              <w:marLeft w:val="0"/>
                              <w:marRight w:val="0"/>
                              <w:marTop w:val="0"/>
                              <w:marBottom w:val="0"/>
                              <w:divBdr>
                                <w:top w:val="single" w:sz="2" w:space="0" w:color="E5E7EB"/>
                                <w:left w:val="single" w:sz="2" w:space="0" w:color="E5E7EB"/>
                                <w:bottom w:val="single" w:sz="2" w:space="0" w:color="E5E7EB"/>
                                <w:right w:val="single" w:sz="2" w:space="0" w:color="E5E7EB"/>
                              </w:divBdr>
                              <w:divsChild>
                                <w:div w:id="1248077462">
                                  <w:marLeft w:val="0"/>
                                  <w:marRight w:val="0"/>
                                  <w:marTop w:val="0"/>
                                  <w:marBottom w:val="0"/>
                                  <w:divBdr>
                                    <w:top w:val="none" w:sz="0" w:space="0" w:color="auto"/>
                                    <w:left w:val="none" w:sz="0" w:space="0" w:color="auto"/>
                                    <w:bottom w:val="none" w:sz="0" w:space="0" w:color="auto"/>
                                    <w:right w:val="none" w:sz="0" w:space="0" w:color="auto"/>
                                  </w:divBdr>
                                  <w:divsChild>
                                    <w:div w:id="1568496048">
                                      <w:marLeft w:val="0"/>
                                      <w:marRight w:val="0"/>
                                      <w:marTop w:val="0"/>
                                      <w:marBottom w:val="0"/>
                                      <w:divBdr>
                                        <w:top w:val="single" w:sz="2" w:space="0" w:color="E5E7EB"/>
                                        <w:left w:val="single" w:sz="2" w:space="12" w:color="E5E7EB"/>
                                        <w:bottom w:val="single" w:sz="2" w:space="0" w:color="E5E7EB"/>
                                        <w:right w:val="single" w:sz="2" w:space="12" w:color="E5E7EB"/>
                                      </w:divBdr>
                                      <w:divsChild>
                                        <w:div w:id="1287348073">
                                          <w:marLeft w:val="0"/>
                                          <w:marRight w:val="0"/>
                                          <w:marTop w:val="0"/>
                                          <w:marBottom w:val="0"/>
                                          <w:divBdr>
                                            <w:top w:val="single" w:sz="2" w:space="0" w:color="E5E7EB"/>
                                            <w:left w:val="single" w:sz="2" w:space="0" w:color="E5E7EB"/>
                                            <w:bottom w:val="single" w:sz="2" w:space="0" w:color="E5E7EB"/>
                                            <w:right w:val="single" w:sz="2" w:space="0" w:color="E5E7EB"/>
                                          </w:divBdr>
                                          <w:divsChild>
                                            <w:div w:id="1886485591">
                                              <w:marLeft w:val="0"/>
                                              <w:marRight w:val="0"/>
                                              <w:marTop w:val="0"/>
                                              <w:marBottom w:val="0"/>
                                              <w:divBdr>
                                                <w:top w:val="single" w:sz="2" w:space="0" w:color="E5E7EB"/>
                                                <w:left w:val="single" w:sz="2" w:space="0" w:color="E5E7EB"/>
                                                <w:bottom w:val="single" w:sz="2" w:space="0" w:color="E5E7EB"/>
                                                <w:right w:val="single" w:sz="2" w:space="0" w:color="E5E7EB"/>
                                              </w:divBdr>
                                              <w:divsChild>
                                                <w:div w:id="1028066444">
                                                  <w:marLeft w:val="0"/>
                                                  <w:marRight w:val="0"/>
                                                  <w:marTop w:val="0"/>
                                                  <w:marBottom w:val="0"/>
                                                  <w:divBdr>
                                                    <w:top w:val="single" w:sz="2" w:space="0" w:color="E5E7EB"/>
                                                    <w:left w:val="single" w:sz="2" w:space="0" w:color="E5E7EB"/>
                                                    <w:bottom w:val="single" w:sz="2" w:space="0" w:color="E5E7EB"/>
                                                    <w:right w:val="single" w:sz="2" w:space="0" w:color="E5E7EB"/>
                                                  </w:divBdr>
                                                  <w:divsChild>
                                                    <w:div w:id="748650049">
                                                      <w:marLeft w:val="0"/>
                                                      <w:marRight w:val="0"/>
                                                      <w:marTop w:val="0"/>
                                                      <w:marBottom w:val="0"/>
                                                      <w:divBdr>
                                                        <w:top w:val="single" w:sz="2" w:space="0" w:color="E5E7EB"/>
                                                        <w:left w:val="single" w:sz="2" w:space="0" w:color="E5E7EB"/>
                                                        <w:bottom w:val="single" w:sz="2" w:space="0" w:color="E5E7EB"/>
                                                        <w:right w:val="single" w:sz="2" w:space="0" w:color="E5E7EB"/>
                                                      </w:divBdr>
                                                      <w:divsChild>
                                                        <w:div w:id="1081485893">
                                                          <w:marLeft w:val="0"/>
                                                          <w:marRight w:val="0"/>
                                                          <w:marTop w:val="0"/>
                                                          <w:marBottom w:val="0"/>
                                                          <w:divBdr>
                                                            <w:top w:val="none" w:sz="0" w:space="0" w:color="auto"/>
                                                            <w:left w:val="none" w:sz="0" w:space="0" w:color="auto"/>
                                                            <w:bottom w:val="none" w:sz="0" w:space="0" w:color="auto"/>
                                                            <w:right w:val="none" w:sz="0" w:space="0" w:color="auto"/>
                                                          </w:divBdr>
                                                          <w:divsChild>
                                                            <w:div w:id="306670668">
                                                              <w:marLeft w:val="0"/>
                                                              <w:marRight w:val="0"/>
                                                              <w:marTop w:val="0"/>
                                                              <w:marBottom w:val="0"/>
                                                              <w:divBdr>
                                                                <w:top w:val="single" w:sz="2" w:space="0" w:color="E5E7EB"/>
                                                                <w:left w:val="single" w:sz="2" w:space="0" w:color="E5E7EB"/>
                                                                <w:bottom w:val="single" w:sz="2" w:space="0" w:color="E5E7EB"/>
                                                                <w:right w:val="single" w:sz="2" w:space="0" w:color="E5E7EB"/>
                                                              </w:divBdr>
                                                              <w:divsChild>
                                                                <w:div w:id="949816784">
                                                                  <w:marLeft w:val="0"/>
                                                                  <w:marRight w:val="0"/>
                                                                  <w:marTop w:val="0"/>
                                                                  <w:marBottom w:val="0"/>
                                                                  <w:divBdr>
                                                                    <w:top w:val="single" w:sz="2" w:space="0" w:color="E5E7EB"/>
                                                                    <w:left w:val="single" w:sz="2" w:space="0" w:color="E5E7EB"/>
                                                                    <w:bottom w:val="single" w:sz="2" w:space="0" w:color="E5E7EB"/>
                                                                    <w:right w:val="single" w:sz="2" w:space="0" w:color="E5E7EB"/>
                                                                  </w:divBdr>
                                                                  <w:divsChild>
                                                                    <w:div w:id="589849882">
                                                                      <w:marLeft w:val="0"/>
                                                                      <w:marRight w:val="0"/>
                                                                      <w:marTop w:val="0"/>
                                                                      <w:marBottom w:val="0"/>
                                                                      <w:divBdr>
                                                                        <w:top w:val="single" w:sz="2" w:space="0" w:color="E5E7EB"/>
                                                                        <w:left w:val="single" w:sz="2" w:space="0" w:color="E5E7EB"/>
                                                                        <w:bottom w:val="single" w:sz="2" w:space="0" w:color="E5E7EB"/>
                                                                        <w:right w:val="single" w:sz="2" w:space="0" w:color="E5E7EB"/>
                                                                      </w:divBdr>
                                                                      <w:divsChild>
                                                                        <w:div w:id="764686253">
                                                                          <w:marLeft w:val="0"/>
                                                                          <w:marRight w:val="0"/>
                                                                          <w:marTop w:val="0"/>
                                                                          <w:marBottom w:val="0"/>
                                                                          <w:divBdr>
                                                                            <w:top w:val="single" w:sz="2" w:space="0" w:color="E5E7EB"/>
                                                                            <w:left w:val="single" w:sz="2" w:space="0" w:color="E5E7EB"/>
                                                                            <w:bottom w:val="single" w:sz="2" w:space="0" w:color="E5E7EB"/>
                                                                            <w:right w:val="single" w:sz="2" w:space="0" w:color="E5E7EB"/>
                                                                          </w:divBdr>
                                                                          <w:divsChild>
                                                                            <w:div w:id="1804343559">
                                                                              <w:marLeft w:val="0"/>
                                                                              <w:marRight w:val="0"/>
                                                                              <w:marTop w:val="0"/>
                                                                              <w:marBottom w:val="0"/>
                                                                              <w:divBdr>
                                                                                <w:top w:val="single" w:sz="2" w:space="0" w:color="E5E7EB"/>
                                                                                <w:left w:val="single" w:sz="2" w:space="0" w:color="E5E7EB"/>
                                                                                <w:bottom w:val="single" w:sz="2" w:space="0" w:color="E5E7EB"/>
                                                                                <w:right w:val="single" w:sz="2" w:space="0" w:color="E5E7EB"/>
                                                                              </w:divBdr>
                                                                              <w:divsChild>
                                                                                <w:div w:id="1793743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40762479">
                                                                  <w:marLeft w:val="0"/>
                                                                  <w:marRight w:val="0"/>
                                                                  <w:marTop w:val="0"/>
                                                                  <w:marBottom w:val="0"/>
                                                                  <w:divBdr>
                                                                    <w:top w:val="single" w:sz="2" w:space="0" w:color="E5E7EB"/>
                                                                    <w:left w:val="single" w:sz="2" w:space="0" w:color="E5E7EB"/>
                                                                    <w:bottom w:val="single" w:sz="2" w:space="0" w:color="E5E7EB"/>
                                                                    <w:right w:val="single" w:sz="2" w:space="0" w:color="E5E7EB"/>
                                                                  </w:divBdr>
                                                                  <w:divsChild>
                                                                    <w:div w:id="1144201437">
                                                                      <w:marLeft w:val="-120"/>
                                                                      <w:marRight w:val="0"/>
                                                                      <w:marTop w:val="0"/>
                                                                      <w:marBottom w:val="0"/>
                                                                      <w:divBdr>
                                                                        <w:top w:val="single" w:sz="2" w:space="0" w:color="E5E7EB"/>
                                                                        <w:left w:val="single" w:sz="2" w:space="0" w:color="E5E7EB"/>
                                                                        <w:bottom w:val="single" w:sz="2" w:space="0" w:color="E5E7EB"/>
                                                                        <w:right w:val="single" w:sz="2" w:space="0" w:color="E5E7EB"/>
                                                                      </w:divBdr>
                                                                      <w:divsChild>
                                                                        <w:div w:id="1468694287">
                                                                          <w:marLeft w:val="0"/>
                                                                          <w:marRight w:val="0"/>
                                                                          <w:marTop w:val="0"/>
                                                                          <w:marBottom w:val="0"/>
                                                                          <w:divBdr>
                                                                            <w:top w:val="single" w:sz="2" w:space="0" w:color="E5E7EB"/>
                                                                            <w:left w:val="single" w:sz="2" w:space="0" w:color="E5E7EB"/>
                                                                            <w:bottom w:val="single" w:sz="2" w:space="0" w:color="E5E7EB"/>
                                                                            <w:right w:val="single" w:sz="2" w:space="0" w:color="E5E7EB"/>
                                                                          </w:divBdr>
                                                                          <w:divsChild>
                                                                            <w:div w:id="2116434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4871911">
                                                                          <w:marLeft w:val="0"/>
                                                                          <w:marRight w:val="0"/>
                                                                          <w:marTop w:val="0"/>
                                                                          <w:marBottom w:val="0"/>
                                                                          <w:divBdr>
                                                                            <w:top w:val="single" w:sz="2" w:space="0" w:color="E5E7EB"/>
                                                                            <w:left w:val="single" w:sz="2" w:space="0" w:color="E5E7EB"/>
                                                                            <w:bottom w:val="single" w:sz="2" w:space="0" w:color="E5E7EB"/>
                                                                            <w:right w:val="single" w:sz="2" w:space="0" w:color="E5E7EB"/>
                                                                          </w:divBdr>
                                                                          <w:divsChild>
                                                                            <w:div w:id="458035580">
                                                                              <w:marLeft w:val="0"/>
                                                                              <w:marRight w:val="0"/>
                                                                              <w:marTop w:val="0"/>
                                                                              <w:marBottom w:val="0"/>
                                                                              <w:divBdr>
                                                                                <w:top w:val="single" w:sz="2" w:space="0" w:color="E5E7EB"/>
                                                                                <w:left w:val="single" w:sz="2" w:space="0" w:color="E5E7EB"/>
                                                                                <w:bottom w:val="single" w:sz="2" w:space="0" w:color="E5E7EB"/>
                                                                                <w:right w:val="single" w:sz="2" w:space="0" w:color="E5E7EB"/>
                                                                              </w:divBdr>
                                                                              <w:divsChild>
                                                                                <w:div w:id="577255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1136817">
                                                                          <w:marLeft w:val="0"/>
                                                                          <w:marRight w:val="0"/>
                                                                          <w:marTop w:val="0"/>
                                                                          <w:marBottom w:val="0"/>
                                                                          <w:divBdr>
                                                                            <w:top w:val="single" w:sz="2" w:space="0" w:color="E5E7EB"/>
                                                                            <w:left w:val="single" w:sz="2" w:space="0" w:color="E5E7EB"/>
                                                                            <w:bottom w:val="single" w:sz="2" w:space="0" w:color="E5E7EB"/>
                                                                            <w:right w:val="single" w:sz="2" w:space="0" w:color="E5E7EB"/>
                                                                          </w:divBdr>
                                                                          <w:divsChild>
                                                                            <w:div w:id="1803770472">
                                                                              <w:marLeft w:val="0"/>
                                                                              <w:marRight w:val="0"/>
                                                                              <w:marTop w:val="0"/>
                                                                              <w:marBottom w:val="0"/>
                                                                              <w:divBdr>
                                                                                <w:top w:val="single" w:sz="2" w:space="0" w:color="E5E7EB"/>
                                                                                <w:left w:val="single" w:sz="2" w:space="0" w:color="E5E7EB"/>
                                                                                <w:bottom w:val="single" w:sz="2" w:space="0" w:color="E5E7EB"/>
                                                                                <w:right w:val="single" w:sz="2" w:space="0" w:color="E5E7EB"/>
                                                                              </w:divBdr>
                                                                              <w:divsChild>
                                                                                <w:div w:id="15403213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797079">
      <w:bodyDiv w:val="1"/>
      <w:marLeft w:val="0"/>
      <w:marRight w:val="0"/>
      <w:marTop w:val="0"/>
      <w:marBottom w:val="0"/>
      <w:divBdr>
        <w:top w:val="none" w:sz="0" w:space="0" w:color="auto"/>
        <w:left w:val="none" w:sz="0" w:space="0" w:color="auto"/>
        <w:bottom w:val="none" w:sz="0" w:space="0" w:color="auto"/>
        <w:right w:val="none" w:sz="0" w:space="0" w:color="auto"/>
      </w:divBdr>
    </w:div>
    <w:div w:id="1755468820">
      <w:bodyDiv w:val="1"/>
      <w:marLeft w:val="0"/>
      <w:marRight w:val="0"/>
      <w:marTop w:val="0"/>
      <w:marBottom w:val="0"/>
      <w:divBdr>
        <w:top w:val="none" w:sz="0" w:space="0" w:color="auto"/>
        <w:left w:val="none" w:sz="0" w:space="0" w:color="auto"/>
        <w:bottom w:val="none" w:sz="0" w:space="0" w:color="auto"/>
        <w:right w:val="none" w:sz="0" w:space="0" w:color="auto"/>
      </w:divBdr>
    </w:div>
    <w:div w:id="1763529356">
      <w:bodyDiv w:val="1"/>
      <w:marLeft w:val="0"/>
      <w:marRight w:val="0"/>
      <w:marTop w:val="0"/>
      <w:marBottom w:val="0"/>
      <w:divBdr>
        <w:top w:val="none" w:sz="0" w:space="0" w:color="auto"/>
        <w:left w:val="none" w:sz="0" w:space="0" w:color="auto"/>
        <w:bottom w:val="none" w:sz="0" w:space="0" w:color="auto"/>
        <w:right w:val="none" w:sz="0" w:space="0" w:color="auto"/>
      </w:divBdr>
    </w:div>
    <w:div w:id="1771201311">
      <w:bodyDiv w:val="1"/>
      <w:marLeft w:val="0"/>
      <w:marRight w:val="0"/>
      <w:marTop w:val="0"/>
      <w:marBottom w:val="0"/>
      <w:divBdr>
        <w:top w:val="none" w:sz="0" w:space="0" w:color="auto"/>
        <w:left w:val="none" w:sz="0" w:space="0" w:color="auto"/>
        <w:bottom w:val="none" w:sz="0" w:space="0" w:color="auto"/>
        <w:right w:val="none" w:sz="0" w:space="0" w:color="auto"/>
      </w:divBdr>
    </w:div>
    <w:div w:id="1905673627">
      <w:bodyDiv w:val="1"/>
      <w:marLeft w:val="0"/>
      <w:marRight w:val="0"/>
      <w:marTop w:val="0"/>
      <w:marBottom w:val="0"/>
      <w:divBdr>
        <w:top w:val="none" w:sz="0" w:space="0" w:color="auto"/>
        <w:left w:val="none" w:sz="0" w:space="0" w:color="auto"/>
        <w:bottom w:val="none" w:sz="0" w:space="0" w:color="auto"/>
        <w:right w:val="none" w:sz="0" w:space="0" w:color="auto"/>
      </w:divBdr>
    </w:div>
    <w:div w:id="1908759198">
      <w:bodyDiv w:val="1"/>
      <w:marLeft w:val="0"/>
      <w:marRight w:val="0"/>
      <w:marTop w:val="0"/>
      <w:marBottom w:val="0"/>
      <w:divBdr>
        <w:top w:val="none" w:sz="0" w:space="0" w:color="auto"/>
        <w:left w:val="none" w:sz="0" w:space="0" w:color="auto"/>
        <w:bottom w:val="none" w:sz="0" w:space="0" w:color="auto"/>
        <w:right w:val="none" w:sz="0" w:space="0" w:color="auto"/>
      </w:divBdr>
    </w:div>
    <w:div w:id="1929389962">
      <w:bodyDiv w:val="1"/>
      <w:marLeft w:val="0"/>
      <w:marRight w:val="0"/>
      <w:marTop w:val="0"/>
      <w:marBottom w:val="0"/>
      <w:divBdr>
        <w:top w:val="none" w:sz="0" w:space="0" w:color="auto"/>
        <w:left w:val="none" w:sz="0" w:space="0" w:color="auto"/>
        <w:bottom w:val="none" w:sz="0" w:space="0" w:color="auto"/>
        <w:right w:val="none" w:sz="0" w:space="0" w:color="auto"/>
      </w:divBdr>
    </w:div>
    <w:div w:id="1940094890">
      <w:bodyDiv w:val="1"/>
      <w:marLeft w:val="0"/>
      <w:marRight w:val="0"/>
      <w:marTop w:val="0"/>
      <w:marBottom w:val="0"/>
      <w:divBdr>
        <w:top w:val="none" w:sz="0" w:space="0" w:color="auto"/>
        <w:left w:val="none" w:sz="0" w:space="0" w:color="auto"/>
        <w:bottom w:val="none" w:sz="0" w:space="0" w:color="auto"/>
        <w:right w:val="none" w:sz="0" w:space="0" w:color="auto"/>
      </w:divBdr>
    </w:div>
    <w:div w:id="1974291192">
      <w:bodyDiv w:val="1"/>
      <w:marLeft w:val="0"/>
      <w:marRight w:val="0"/>
      <w:marTop w:val="0"/>
      <w:marBottom w:val="0"/>
      <w:divBdr>
        <w:top w:val="none" w:sz="0" w:space="0" w:color="auto"/>
        <w:left w:val="none" w:sz="0" w:space="0" w:color="auto"/>
        <w:bottom w:val="none" w:sz="0" w:space="0" w:color="auto"/>
        <w:right w:val="none" w:sz="0" w:space="0" w:color="auto"/>
      </w:divBdr>
    </w:div>
    <w:div w:id="2028284445">
      <w:bodyDiv w:val="1"/>
      <w:marLeft w:val="0"/>
      <w:marRight w:val="0"/>
      <w:marTop w:val="0"/>
      <w:marBottom w:val="0"/>
      <w:divBdr>
        <w:top w:val="none" w:sz="0" w:space="0" w:color="auto"/>
        <w:left w:val="none" w:sz="0" w:space="0" w:color="auto"/>
        <w:bottom w:val="none" w:sz="0" w:space="0" w:color="auto"/>
        <w:right w:val="none" w:sz="0" w:space="0" w:color="auto"/>
      </w:divBdr>
    </w:div>
    <w:div w:id="2041272317">
      <w:bodyDiv w:val="1"/>
      <w:marLeft w:val="0"/>
      <w:marRight w:val="0"/>
      <w:marTop w:val="0"/>
      <w:marBottom w:val="0"/>
      <w:divBdr>
        <w:top w:val="none" w:sz="0" w:space="0" w:color="auto"/>
        <w:left w:val="none" w:sz="0" w:space="0" w:color="auto"/>
        <w:bottom w:val="none" w:sz="0" w:space="0" w:color="auto"/>
        <w:right w:val="none" w:sz="0" w:space="0" w:color="auto"/>
      </w:divBdr>
    </w:div>
    <w:div w:id="2049257607">
      <w:bodyDiv w:val="1"/>
      <w:marLeft w:val="0"/>
      <w:marRight w:val="0"/>
      <w:marTop w:val="0"/>
      <w:marBottom w:val="0"/>
      <w:divBdr>
        <w:top w:val="none" w:sz="0" w:space="0" w:color="auto"/>
        <w:left w:val="none" w:sz="0" w:space="0" w:color="auto"/>
        <w:bottom w:val="none" w:sz="0" w:space="0" w:color="auto"/>
        <w:right w:val="none" w:sz="0" w:space="0" w:color="auto"/>
      </w:divBdr>
    </w:div>
    <w:div w:id="2071223661">
      <w:bodyDiv w:val="1"/>
      <w:marLeft w:val="0"/>
      <w:marRight w:val="0"/>
      <w:marTop w:val="0"/>
      <w:marBottom w:val="0"/>
      <w:divBdr>
        <w:top w:val="none" w:sz="0" w:space="0" w:color="auto"/>
        <w:left w:val="none" w:sz="0" w:space="0" w:color="auto"/>
        <w:bottom w:val="none" w:sz="0" w:space="0" w:color="auto"/>
        <w:right w:val="none" w:sz="0" w:space="0" w:color="auto"/>
      </w:divBdr>
    </w:div>
    <w:div w:id="2082752259">
      <w:bodyDiv w:val="1"/>
      <w:marLeft w:val="0"/>
      <w:marRight w:val="0"/>
      <w:marTop w:val="0"/>
      <w:marBottom w:val="0"/>
      <w:divBdr>
        <w:top w:val="none" w:sz="0" w:space="0" w:color="auto"/>
        <w:left w:val="none" w:sz="0" w:space="0" w:color="auto"/>
        <w:bottom w:val="none" w:sz="0" w:space="0" w:color="auto"/>
        <w:right w:val="none" w:sz="0" w:space="0" w:color="auto"/>
      </w:divBdr>
    </w:div>
    <w:div w:id="2107731263">
      <w:bodyDiv w:val="1"/>
      <w:marLeft w:val="0"/>
      <w:marRight w:val="0"/>
      <w:marTop w:val="0"/>
      <w:marBottom w:val="0"/>
      <w:divBdr>
        <w:top w:val="none" w:sz="0" w:space="0" w:color="auto"/>
        <w:left w:val="none" w:sz="0" w:space="0" w:color="auto"/>
        <w:bottom w:val="none" w:sz="0" w:space="0" w:color="auto"/>
        <w:right w:val="none" w:sz="0" w:space="0" w:color="auto"/>
      </w:divBdr>
    </w:div>
    <w:div w:id="2139955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B7F51-CE64-4294-92C2-9E614E5A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29</Pages>
  <Words>9587</Words>
  <Characters>54651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TRÖÔØNG ÑAÏI HOÏC TRAØ VINH</vt:lpstr>
    </vt:vector>
  </TitlesOfParts>
  <Company>home</Company>
  <LinksUpToDate>false</LinksUpToDate>
  <CharactersWithSpaces>64110</CharactersWithSpaces>
  <SharedDoc>false</SharedDoc>
  <HLinks>
    <vt:vector size="66" baseType="variant">
      <vt:variant>
        <vt:i4>1966175</vt:i4>
      </vt:variant>
      <vt:variant>
        <vt:i4>30</vt:i4>
      </vt:variant>
      <vt:variant>
        <vt:i4>0</vt:i4>
      </vt:variant>
      <vt:variant>
        <vt:i4>5</vt:i4>
      </vt:variant>
      <vt:variant>
        <vt:lpwstr>https://doi.org/10.3390/land10121352</vt:lpwstr>
      </vt:variant>
      <vt:variant>
        <vt:lpwstr/>
      </vt:variant>
      <vt:variant>
        <vt:i4>6488163</vt:i4>
      </vt:variant>
      <vt:variant>
        <vt:i4>27</vt:i4>
      </vt:variant>
      <vt:variant>
        <vt:i4>0</vt:i4>
      </vt:variant>
      <vt:variant>
        <vt:i4>5</vt:i4>
      </vt:variant>
      <vt:variant>
        <vt:lpwstr>https://thoibaotaichinhvietnam.vn/nong-nghiep-dong-bang-song-cuu-long-tang-truong-voi-toc-do-cao-94164.html</vt:lpwstr>
      </vt:variant>
      <vt:variant>
        <vt:lpwstr/>
      </vt:variant>
      <vt:variant>
        <vt:i4>65618</vt:i4>
      </vt:variant>
      <vt:variant>
        <vt:i4>24</vt:i4>
      </vt:variant>
      <vt:variant>
        <vt:i4>0</vt:i4>
      </vt:variant>
      <vt:variant>
        <vt:i4>5</vt:i4>
      </vt:variant>
      <vt:variant>
        <vt:lpwstr>https://baoangiang.com.vn/chuyen-doi-mo-hinh-kinh-te-nong-nghiep-theo-huong-ben-vung-a380463.html</vt:lpwstr>
      </vt:variant>
      <vt:variant>
        <vt:lpwstr/>
      </vt:variant>
      <vt:variant>
        <vt:i4>7405664</vt:i4>
      </vt:variant>
      <vt:variant>
        <vt:i4>21</vt:i4>
      </vt:variant>
      <vt:variant>
        <vt:i4>0</vt:i4>
      </vt:variant>
      <vt:variant>
        <vt:i4>5</vt:i4>
      </vt:variant>
      <vt:variant>
        <vt:lpwstr>https://www.tapchicongsan.org.vn/web/guest/kinh-te/-/2018/827492/chuyen-doi-so-de-phat-trien-nong-nghiep-cong-nghe-cao-theo-huong-da-chuc-nang,-kinh-te-tuan-hoan.aspx</vt:lpwstr>
      </vt:variant>
      <vt:variant>
        <vt:lpwstr/>
      </vt:variant>
      <vt:variant>
        <vt:i4>1310738</vt:i4>
      </vt:variant>
      <vt:variant>
        <vt:i4>18</vt:i4>
      </vt:variant>
      <vt:variant>
        <vt:i4>0</vt:i4>
      </vt:variant>
      <vt:variant>
        <vt:i4>5</vt:i4>
      </vt:variant>
      <vt:variant>
        <vt:lpwstr>https://vjst.vn/vn/tin-tuc/7912/mo-hinh-doi-moi-sang-tao-trong-nong-nghiep-va-goi-y-cho-viet-nam.aspx</vt:lpwstr>
      </vt:variant>
      <vt:variant>
        <vt:lpwstr/>
      </vt:variant>
      <vt:variant>
        <vt:i4>1638490</vt:i4>
      </vt:variant>
      <vt:variant>
        <vt:i4>15</vt:i4>
      </vt:variant>
      <vt:variant>
        <vt:i4>0</vt:i4>
      </vt:variant>
      <vt:variant>
        <vt:i4>5</vt:i4>
      </vt:variant>
      <vt:variant>
        <vt:lpwstr>https://baochinhphu.vn/nong-nghiep-tang-truong-cao-nhat-trong-nhieu-nam-thang-du-thuong-mai-ky-luc-102240103150143905.htm</vt:lpwstr>
      </vt:variant>
      <vt:variant>
        <vt:lpwstr/>
      </vt:variant>
      <vt:variant>
        <vt:i4>8257640</vt:i4>
      </vt:variant>
      <vt:variant>
        <vt:i4>12</vt:i4>
      </vt:variant>
      <vt:variant>
        <vt:i4>0</vt:i4>
      </vt:variant>
      <vt:variant>
        <vt:i4>5</vt:i4>
      </vt:variant>
      <vt:variant>
        <vt:lpwstr>https://vacpa.org.vn/vi/de-xuat-huong-dan-ve-ke-toan-cac-khoan-tro-cap-cua-chinh-phu-cho-phu-hop-voi-chuan-muc-ke-toan-quoc-te-5239.htm</vt:lpwstr>
      </vt:variant>
      <vt:variant>
        <vt:lpwstr/>
      </vt:variant>
      <vt:variant>
        <vt:i4>1703938</vt:i4>
      </vt:variant>
      <vt:variant>
        <vt:i4>9</vt:i4>
      </vt:variant>
      <vt:variant>
        <vt:i4>0</vt:i4>
      </vt:variant>
      <vt:variant>
        <vt:i4>5</vt:i4>
      </vt:variant>
      <vt:variant>
        <vt:lpwstr>https://fpt-is.com/goc-nhin-so/nong-nghiep-xanh/</vt:lpwstr>
      </vt:variant>
      <vt:variant>
        <vt:lpwstr/>
      </vt:variant>
      <vt:variant>
        <vt:i4>2162807</vt:i4>
      </vt:variant>
      <vt:variant>
        <vt:i4>6</vt:i4>
      </vt:variant>
      <vt:variant>
        <vt:i4>0</vt:i4>
      </vt:variant>
      <vt:variant>
        <vt:i4>5</vt:i4>
      </vt:variant>
      <vt:variant>
        <vt:lpwstr>https://ictvietnam.vn/chuyen-doi-mo-hinh-san-xuat-nong-nghiep-nham-dap-ung-tang-truong-xanh-54111.html</vt:lpwstr>
      </vt:variant>
      <vt:variant>
        <vt:lpwstr/>
      </vt:variant>
      <vt:variant>
        <vt:i4>1507420</vt:i4>
      </vt:variant>
      <vt:variant>
        <vt:i4>3</vt:i4>
      </vt:variant>
      <vt:variant>
        <vt:i4>0</vt:i4>
      </vt:variant>
      <vt:variant>
        <vt:i4>5</vt:i4>
      </vt:variant>
      <vt:variant>
        <vt:lpwstr>https://vneconomy.vn/nam-2023-dong-bang-song-cuu-long-thu-hut-khoang-100-nghin-ty-dong-dau-tu-vao-nong-nghiep.htm</vt:lpwstr>
      </vt:variant>
      <vt:variant>
        <vt:lpwstr/>
      </vt:variant>
      <vt:variant>
        <vt:i4>1310733</vt:i4>
      </vt:variant>
      <vt:variant>
        <vt:i4>0</vt:i4>
      </vt:variant>
      <vt:variant>
        <vt:i4>0</vt:i4>
      </vt:variant>
      <vt:variant>
        <vt:i4>5</vt:i4>
      </vt:variant>
      <vt:variant>
        <vt:lpwstr>https://www.tapchicongsan.org.vn/web/guest/kinh-te/-/2018/825409/doi-moi-mo-hinh-to-chuc-san-xuat-nong-nghiep-theo-chuoi-gia-tri-dua-tren-lien-ket-nhieu-chu-the---mot-so-kinh-nghiem-buoc-dau-tu-thuc-tien-tinh-quang-ngai.aspx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TRÖÔØNG ÑAÏI HOÏC TRAØ VINH</dc:title>
  <dc:subject/>
  <dc:creator>nthue</dc:creator>
  <cp:keywords/>
  <dc:description/>
  <cp:lastModifiedBy>Admin</cp:lastModifiedBy>
  <cp:revision>30</cp:revision>
  <cp:lastPrinted>2026-06-10T16:07:00Z</cp:lastPrinted>
  <dcterms:created xsi:type="dcterms:W3CDTF">2026-06-10T12:41:00Z</dcterms:created>
  <dcterms:modified xsi:type="dcterms:W3CDTF">2026-09-01T05:46:00Z</dcterms:modified>
</cp:coreProperties>
</file>