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6D6AA" w14:textId="77777777" w:rsidR="00342633" w:rsidRPr="00050474" w:rsidRDefault="0051710A">
      <w:pPr>
        <w:rPr>
          <w:rFonts w:ascii="Times New Roman" w:hAnsi="Times New Roman" w:cs="Times New Roman"/>
          <w:b/>
          <w:color w:val="000000" w:themeColor="text1"/>
          <w:sz w:val="24"/>
        </w:rPr>
      </w:pPr>
      <w:r w:rsidRPr="00050474">
        <w:rPr>
          <w:rFonts w:ascii="Times New Roman" w:hAnsi="Times New Roman" w:cs="Times New Roman"/>
          <w:color w:val="000000" w:themeColor="text1"/>
          <w:sz w:val="24"/>
        </w:rPr>
        <w:tab/>
        <w:t xml:space="preserve">      </w:t>
      </w:r>
    </w:p>
    <w:p w14:paraId="14861798" w14:textId="77777777" w:rsidR="00342633" w:rsidRPr="00050474" w:rsidRDefault="0051710A">
      <w:pPr>
        <w:spacing w:before="60" w:after="60"/>
        <w:jc w:val="center"/>
        <w:rPr>
          <w:rFonts w:ascii="Times New Roman" w:hAnsi="Times New Roman" w:cs="Times New Roman"/>
          <w:color w:val="000000" w:themeColor="text1"/>
          <w:sz w:val="28"/>
          <w:szCs w:val="28"/>
        </w:rPr>
      </w:pPr>
      <w:r w:rsidRPr="00050474">
        <w:rPr>
          <w:rFonts w:ascii="Times New Roman" w:hAnsi="Times New Roman" w:cs="Times New Roman"/>
          <w:color w:val="000000" w:themeColor="text1"/>
          <w:sz w:val="28"/>
          <w:szCs w:val="28"/>
        </w:rPr>
        <w:t>BỘ GIÁO DỤC VÀ ĐÀO TẠO                          BỘ TÀI CHÍNH</w:t>
      </w:r>
    </w:p>
    <w:p w14:paraId="7743E1E8" w14:textId="77777777" w:rsidR="00342633" w:rsidRPr="00050474" w:rsidRDefault="0051710A">
      <w:pPr>
        <w:spacing w:before="120" w:after="60"/>
        <w:jc w:val="center"/>
        <w:rPr>
          <w:rFonts w:ascii="Times New Roman" w:hAnsi="Times New Roman" w:cs="Times New Roman"/>
          <w:b/>
          <w:bCs/>
          <w:color w:val="000000" w:themeColor="text1"/>
          <w:sz w:val="28"/>
          <w:szCs w:val="28"/>
        </w:rPr>
      </w:pPr>
      <w:r w:rsidRPr="00050474">
        <w:rPr>
          <w:rFonts w:ascii="Times New Roman" w:hAnsi="Times New Roman" w:cs="Times New Roman"/>
          <w:b/>
          <w:bCs/>
          <w:color w:val="000000" w:themeColor="text1"/>
          <w:sz w:val="28"/>
          <w:szCs w:val="28"/>
        </w:rPr>
        <w:t>HỌC VIỆN TÀI CHÍNH</w:t>
      </w:r>
    </w:p>
    <w:p w14:paraId="023E6A43" w14:textId="77777777" w:rsidR="00342633" w:rsidRPr="00050474" w:rsidRDefault="0051710A">
      <w:pPr>
        <w:ind w:left="440" w:right="334"/>
        <w:jc w:val="center"/>
        <w:rPr>
          <w:rFonts w:ascii="Times New Roman" w:hAnsi="Times New Roman" w:cs="Times New Roman"/>
          <w:color w:val="000000" w:themeColor="text1"/>
        </w:rPr>
      </w:pPr>
      <w:r w:rsidRPr="00050474">
        <w:rPr>
          <w:rFonts w:ascii="Times New Roman" w:hAnsi="Times New Roman" w:cs="Times New Roman"/>
          <w:color w:val="000000" w:themeColor="text1"/>
          <w:w w:val="95"/>
        </w:rPr>
        <w:t>-----</w:t>
      </w:r>
      <w:r w:rsidRPr="00050474">
        <w:rPr>
          <w:rFonts w:ascii="Times New Roman" w:hAnsi="Times New Roman" w:cs="Times New Roman"/>
          <w:color w:val="000000" w:themeColor="text1"/>
          <w:w w:val="95"/>
        </w:rPr>
        <w:t></w:t>
      </w:r>
      <w:r w:rsidRPr="00050474">
        <w:rPr>
          <w:rFonts w:ascii="Times New Roman" w:hAnsi="Times New Roman" w:cs="Times New Roman"/>
          <w:color w:val="000000" w:themeColor="text1"/>
          <w:w w:val="95"/>
        </w:rPr>
        <w:t></w:t>
      </w:r>
      <w:r w:rsidRPr="00050474">
        <w:rPr>
          <w:rFonts w:ascii="Times New Roman" w:hAnsi="Times New Roman" w:cs="Times New Roman"/>
          <w:color w:val="000000" w:themeColor="text1"/>
          <w:w w:val="95"/>
        </w:rPr>
        <w:t></w:t>
      </w:r>
      <w:r w:rsidRPr="00050474">
        <w:rPr>
          <w:rFonts w:ascii="Times New Roman" w:hAnsi="Times New Roman" w:cs="Times New Roman"/>
          <w:color w:val="000000" w:themeColor="text1"/>
          <w:w w:val="95"/>
        </w:rPr>
        <w:t></w:t>
      </w:r>
      <w:r w:rsidRPr="00050474">
        <w:rPr>
          <w:rFonts w:ascii="Times New Roman" w:hAnsi="Times New Roman" w:cs="Times New Roman"/>
          <w:color w:val="000000" w:themeColor="text1"/>
          <w:w w:val="95"/>
        </w:rPr>
        <w:t>----</w:t>
      </w:r>
      <w:r w:rsidRPr="00050474">
        <w:rPr>
          <w:rFonts w:ascii="Times New Roman" w:hAnsi="Times New Roman" w:cs="Times New Roman"/>
          <w:color w:val="000000" w:themeColor="text1"/>
          <w:spacing w:val="-10"/>
          <w:w w:val="95"/>
        </w:rPr>
        <w:t>-</w:t>
      </w:r>
    </w:p>
    <w:p w14:paraId="2F7F2BE3" w14:textId="77777777" w:rsidR="00342633" w:rsidRPr="00050474" w:rsidRDefault="00342633">
      <w:pPr>
        <w:jc w:val="center"/>
        <w:rPr>
          <w:rFonts w:ascii="Times New Roman" w:hAnsi="Times New Roman" w:cs="Times New Roman"/>
          <w:b/>
          <w:bCs/>
          <w:color w:val="000000" w:themeColor="text1"/>
          <w:sz w:val="28"/>
          <w:szCs w:val="28"/>
        </w:rPr>
      </w:pPr>
    </w:p>
    <w:p w14:paraId="3CC36900" w14:textId="77777777" w:rsidR="00342633" w:rsidRPr="00050474" w:rsidRDefault="00342633">
      <w:pPr>
        <w:rPr>
          <w:rFonts w:ascii="Times New Roman" w:hAnsi="Times New Roman" w:cs="Times New Roman"/>
          <w:b/>
          <w:color w:val="000000" w:themeColor="text1"/>
          <w:sz w:val="28"/>
          <w:szCs w:val="28"/>
        </w:rPr>
      </w:pPr>
    </w:p>
    <w:p w14:paraId="2FA0050F" w14:textId="77777777" w:rsidR="00342633" w:rsidRPr="00050474" w:rsidRDefault="00342633">
      <w:pPr>
        <w:rPr>
          <w:rFonts w:ascii="Times New Roman" w:hAnsi="Times New Roman" w:cs="Times New Roman"/>
          <w:b/>
          <w:color w:val="000000" w:themeColor="text1"/>
          <w:sz w:val="28"/>
          <w:szCs w:val="28"/>
        </w:rPr>
      </w:pPr>
    </w:p>
    <w:p w14:paraId="28EEE50C" w14:textId="77777777" w:rsidR="00342633" w:rsidRPr="00050474" w:rsidRDefault="00342633">
      <w:pPr>
        <w:rPr>
          <w:rFonts w:ascii="Times New Roman" w:hAnsi="Times New Roman" w:cs="Times New Roman"/>
          <w:color w:val="000000" w:themeColor="text1"/>
          <w:sz w:val="24"/>
        </w:rPr>
      </w:pPr>
    </w:p>
    <w:p w14:paraId="6FD5B39B" w14:textId="77777777" w:rsidR="00342633" w:rsidRPr="00050474" w:rsidRDefault="00342633">
      <w:pPr>
        <w:rPr>
          <w:rFonts w:ascii="Times New Roman" w:hAnsi="Times New Roman" w:cs="Times New Roman"/>
          <w:color w:val="000000" w:themeColor="text1"/>
          <w:sz w:val="24"/>
        </w:rPr>
      </w:pPr>
    </w:p>
    <w:p w14:paraId="74582EA0" w14:textId="77777777" w:rsidR="00342633" w:rsidRPr="00050474" w:rsidRDefault="00342633">
      <w:pPr>
        <w:rPr>
          <w:rFonts w:ascii="Times New Roman" w:hAnsi="Times New Roman" w:cs="Times New Roman"/>
          <w:color w:val="000000" w:themeColor="text1"/>
          <w:sz w:val="24"/>
        </w:rPr>
      </w:pPr>
    </w:p>
    <w:p w14:paraId="7601B0EC" w14:textId="77777777" w:rsidR="00342633" w:rsidRPr="00050474" w:rsidRDefault="00342633">
      <w:pPr>
        <w:rPr>
          <w:rFonts w:ascii="Times New Roman" w:hAnsi="Times New Roman" w:cs="Times New Roman"/>
          <w:color w:val="000000" w:themeColor="text1"/>
          <w:sz w:val="24"/>
          <w:lang w:val="vi-VN"/>
        </w:rPr>
      </w:pPr>
    </w:p>
    <w:p w14:paraId="39ED573A" w14:textId="77777777" w:rsidR="00342633" w:rsidRPr="00050474" w:rsidRDefault="0051710A">
      <w:pPr>
        <w:jc w:val="center"/>
        <w:rPr>
          <w:rFonts w:ascii="Times New Roman" w:hAnsi="Times New Roman" w:cs="Times New Roman"/>
          <w:b/>
          <w:bCs/>
          <w:color w:val="000000" w:themeColor="text1"/>
          <w:sz w:val="28"/>
          <w:szCs w:val="28"/>
        </w:rPr>
      </w:pPr>
      <w:r w:rsidRPr="00050474">
        <w:rPr>
          <w:rFonts w:ascii="Times New Roman" w:hAnsi="Times New Roman" w:cs="Times New Roman"/>
          <w:b/>
          <w:bCs/>
          <w:color w:val="000000" w:themeColor="text1"/>
          <w:sz w:val="28"/>
          <w:szCs w:val="28"/>
        </w:rPr>
        <w:t>TRẦN THỊ TUYẾT HẠNH</w:t>
      </w:r>
    </w:p>
    <w:p w14:paraId="613831E5" w14:textId="77777777" w:rsidR="00342633" w:rsidRPr="00050474" w:rsidRDefault="00342633">
      <w:pPr>
        <w:jc w:val="center"/>
        <w:rPr>
          <w:rFonts w:ascii="Times New Roman" w:hAnsi="Times New Roman" w:cs="Times New Roman"/>
          <w:b/>
          <w:bCs/>
          <w:color w:val="000000" w:themeColor="text1"/>
          <w:sz w:val="28"/>
          <w:szCs w:val="28"/>
        </w:rPr>
      </w:pPr>
    </w:p>
    <w:p w14:paraId="43DF18A0" w14:textId="77777777" w:rsidR="00342633" w:rsidRPr="00050474" w:rsidRDefault="00342633">
      <w:pPr>
        <w:jc w:val="center"/>
        <w:rPr>
          <w:rFonts w:ascii="Times New Roman" w:hAnsi="Times New Roman" w:cs="Times New Roman"/>
          <w:b/>
          <w:bCs/>
          <w:color w:val="000000" w:themeColor="text1"/>
          <w:sz w:val="24"/>
          <w:lang w:val="vi-VN"/>
        </w:rPr>
      </w:pPr>
    </w:p>
    <w:p w14:paraId="60C08452" w14:textId="77777777" w:rsidR="00342633" w:rsidRPr="00050474" w:rsidRDefault="00342633">
      <w:pPr>
        <w:jc w:val="center"/>
        <w:rPr>
          <w:rFonts w:ascii="Times New Roman" w:hAnsi="Times New Roman" w:cs="Times New Roman"/>
          <w:i/>
          <w:iCs/>
          <w:color w:val="000000" w:themeColor="text1"/>
          <w:sz w:val="24"/>
        </w:rPr>
      </w:pPr>
    </w:p>
    <w:p w14:paraId="54A12198" w14:textId="77777777" w:rsidR="00342633" w:rsidRPr="00050474" w:rsidRDefault="00342633">
      <w:pPr>
        <w:jc w:val="center"/>
        <w:rPr>
          <w:rFonts w:ascii="Times New Roman" w:hAnsi="Times New Roman" w:cs="Times New Roman"/>
          <w:i/>
          <w:iCs/>
          <w:color w:val="000000" w:themeColor="text1"/>
          <w:sz w:val="24"/>
        </w:rPr>
      </w:pPr>
    </w:p>
    <w:p w14:paraId="44929BF6" w14:textId="77777777" w:rsidR="00342633" w:rsidRPr="00050474" w:rsidRDefault="00342633">
      <w:pPr>
        <w:jc w:val="center"/>
        <w:rPr>
          <w:rFonts w:ascii="Times New Roman" w:hAnsi="Times New Roman" w:cs="Times New Roman"/>
          <w:i/>
          <w:iCs/>
          <w:color w:val="000000" w:themeColor="text1"/>
          <w:sz w:val="24"/>
        </w:rPr>
      </w:pPr>
    </w:p>
    <w:p w14:paraId="4775FABE" w14:textId="77777777" w:rsidR="00342633" w:rsidRPr="00050474" w:rsidRDefault="00342633">
      <w:pPr>
        <w:rPr>
          <w:rFonts w:ascii="Times New Roman" w:hAnsi="Times New Roman" w:cs="Times New Roman"/>
          <w:i/>
          <w:iCs/>
          <w:color w:val="000000" w:themeColor="text1"/>
          <w:sz w:val="24"/>
        </w:rPr>
      </w:pPr>
    </w:p>
    <w:p w14:paraId="142124B7" w14:textId="77777777" w:rsidR="00342633" w:rsidRPr="00050474" w:rsidRDefault="00342633">
      <w:pPr>
        <w:jc w:val="center"/>
        <w:rPr>
          <w:rFonts w:ascii="Times New Roman" w:hAnsi="Times New Roman" w:cs="Times New Roman"/>
          <w:i/>
          <w:iCs/>
          <w:color w:val="000000" w:themeColor="text1"/>
          <w:sz w:val="24"/>
          <w:lang w:val="vi-VN"/>
        </w:rPr>
      </w:pPr>
    </w:p>
    <w:p w14:paraId="568A4437" w14:textId="77777777" w:rsidR="00342633" w:rsidRPr="00050474" w:rsidRDefault="0051710A">
      <w:pPr>
        <w:jc w:val="center"/>
        <w:rPr>
          <w:rFonts w:ascii="Times New Roman" w:hAnsi="Times New Roman" w:cs="Times New Roman"/>
          <w:b/>
          <w:color w:val="000000" w:themeColor="text1"/>
          <w:sz w:val="30"/>
          <w:szCs w:val="30"/>
          <w:lang w:val="vi-VN"/>
        </w:rPr>
      </w:pPr>
      <w:r w:rsidRPr="00050474">
        <w:rPr>
          <w:rFonts w:ascii="Times New Roman" w:hAnsi="Times New Roman" w:cs="Times New Roman"/>
          <w:b/>
          <w:color w:val="000000" w:themeColor="text1"/>
          <w:sz w:val="32"/>
          <w:szCs w:val="32"/>
          <w:lang w:val="vi-VN"/>
        </w:rPr>
        <w:t>TỔ CHỨC CÔNG TÁC KẾ TOÁN TẠI CÁC BỆNH VIỆN CÔNG LẬP Ở ĐỒNG BẰNG SÔNG CỬU LONG</w:t>
      </w:r>
      <w:r w:rsidRPr="00050474">
        <w:rPr>
          <w:rFonts w:ascii="Times New Roman" w:hAnsi="Times New Roman" w:cs="Times New Roman"/>
          <w:b/>
          <w:color w:val="000000" w:themeColor="text1"/>
          <w:sz w:val="30"/>
          <w:szCs w:val="30"/>
          <w:lang w:val="vi-VN"/>
        </w:rPr>
        <w:t xml:space="preserve"> </w:t>
      </w:r>
    </w:p>
    <w:p w14:paraId="1167D39D" w14:textId="77777777" w:rsidR="00342633" w:rsidRPr="00050474" w:rsidRDefault="00342633">
      <w:pPr>
        <w:jc w:val="center"/>
        <w:rPr>
          <w:rFonts w:ascii="Times New Roman" w:hAnsi="Times New Roman" w:cs="Times New Roman"/>
          <w:b/>
          <w:bCs/>
          <w:color w:val="000000" w:themeColor="text1"/>
          <w:spacing w:val="6"/>
          <w:sz w:val="28"/>
          <w:szCs w:val="28"/>
          <w:lang w:val="vi-VN"/>
        </w:rPr>
      </w:pPr>
    </w:p>
    <w:p w14:paraId="572DFB83" w14:textId="77777777" w:rsidR="00342633" w:rsidRPr="00050474" w:rsidRDefault="00342633">
      <w:pPr>
        <w:jc w:val="center"/>
        <w:rPr>
          <w:rFonts w:ascii="Times New Roman" w:hAnsi="Times New Roman" w:cs="Times New Roman"/>
          <w:b/>
          <w:bCs/>
          <w:color w:val="000000" w:themeColor="text1"/>
          <w:spacing w:val="6"/>
          <w:sz w:val="28"/>
          <w:szCs w:val="28"/>
          <w:lang w:val="vi-VN"/>
        </w:rPr>
      </w:pPr>
    </w:p>
    <w:p w14:paraId="1A16A363" w14:textId="77777777" w:rsidR="00342633" w:rsidRPr="00050474" w:rsidRDefault="00342633">
      <w:pPr>
        <w:jc w:val="center"/>
        <w:rPr>
          <w:rFonts w:ascii="Times New Roman" w:hAnsi="Times New Roman" w:cs="Times New Roman"/>
          <w:b/>
          <w:bCs/>
          <w:color w:val="000000" w:themeColor="text1"/>
          <w:sz w:val="28"/>
          <w:szCs w:val="28"/>
          <w:lang w:val="vi-VN"/>
        </w:rPr>
      </w:pPr>
    </w:p>
    <w:p w14:paraId="7186DBC9" w14:textId="77777777" w:rsidR="00342633" w:rsidRPr="00050474" w:rsidRDefault="0051710A">
      <w:pPr>
        <w:autoSpaceDE w:val="0"/>
        <w:autoSpaceDN w:val="0"/>
        <w:adjustRightInd w:val="0"/>
        <w:spacing w:before="60" w:after="60" w:line="360" w:lineRule="auto"/>
        <w:ind w:firstLine="1559"/>
        <w:rPr>
          <w:rFonts w:ascii="Times New Roman" w:hAnsi="Times New Roman" w:cs="Times New Roman"/>
          <w:bCs/>
          <w:color w:val="000000" w:themeColor="text1"/>
          <w:sz w:val="28"/>
          <w:szCs w:val="28"/>
          <w:lang w:val="vi-VN"/>
        </w:rPr>
      </w:pPr>
      <w:r w:rsidRPr="00050474">
        <w:rPr>
          <w:rFonts w:ascii="Times New Roman" w:hAnsi="Times New Roman" w:cs="Times New Roman"/>
          <w:bCs/>
          <w:color w:val="000000" w:themeColor="text1"/>
          <w:sz w:val="28"/>
          <w:szCs w:val="28"/>
          <w:lang w:val="vi-VN"/>
        </w:rPr>
        <w:t xml:space="preserve">Ngành: </w:t>
      </w:r>
      <w:r w:rsidRPr="00050474">
        <w:rPr>
          <w:rFonts w:ascii="Times New Roman" w:hAnsi="Times New Roman" w:cs="Times New Roman"/>
          <w:bCs/>
          <w:color w:val="000000" w:themeColor="text1"/>
          <w:sz w:val="28"/>
          <w:szCs w:val="28"/>
          <w:lang w:val="vi-VN"/>
        </w:rPr>
        <w:tab/>
        <w:t>Kế toán</w:t>
      </w:r>
    </w:p>
    <w:p w14:paraId="5DAAB184" w14:textId="77777777" w:rsidR="00342633" w:rsidRPr="00050474" w:rsidRDefault="0051710A">
      <w:pPr>
        <w:spacing w:before="60" w:after="60" w:line="360" w:lineRule="auto"/>
        <w:ind w:firstLine="1559"/>
        <w:rPr>
          <w:rFonts w:ascii="Times New Roman" w:hAnsi="Times New Roman" w:cs="Times New Roman"/>
          <w:bCs/>
          <w:color w:val="000000" w:themeColor="text1"/>
          <w:sz w:val="28"/>
          <w:szCs w:val="28"/>
          <w:lang w:val="vi-VN"/>
        </w:rPr>
      </w:pPr>
      <w:r w:rsidRPr="00050474">
        <w:rPr>
          <w:rFonts w:ascii="Times New Roman" w:hAnsi="Times New Roman" w:cs="Times New Roman"/>
          <w:bCs/>
          <w:color w:val="000000" w:themeColor="text1"/>
          <w:sz w:val="28"/>
          <w:szCs w:val="28"/>
          <w:lang w:val="vi-VN"/>
        </w:rPr>
        <w:t xml:space="preserve">Mã số: </w:t>
      </w:r>
      <w:r w:rsidRPr="00050474">
        <w:rPr>
          <w:rFonts w:ascii="Times New Roman" w:hAnsi="Times New Roman" w:cs="Times New Roman"/>
          <w:bCs/>
          <w:color w:val="000000" w:themeColor="text1"/>
          <w:sz w:val="28"/>
          <w:szCs w:val="28"/>
          <w:lang w:val="vi-VN"/>
        </w:rPr>
        <w:tab/>
        <w:t>9.34.03.01</w:t>
      </w:r>
    </w:p>
    <w:p w14:paraId="78690CC3" w14:textId="77777777" w:rsidR="00342633" w:rsidRPr="00050474" w:rsidRDefault="00342633">
      <w:pPr>
        <w:ind w:firstLine="1560"/>
        <w:rPr>
          <w:rFonts w:ascii="Times New Roman" w:hAnsi="Times New Roman" w:cs="Times New Roman"/>
          <w:i/>
          <w:iCs/>
          <w:color w:val="000000" w:themeColor="text1"/>
          <w:sz w:val="24"/>
          <w:lang w:val="vi-VN"/>
        </w:rPr>
      </w:pPr>
    </w:p>
    <w:p w14:paraId="711B7FAF" w14:textId="77777777" w:rsidR="00342633" w:rsidRPr="00050474" w:rsidRDefault="00342633">
      <w:pPr>
        <w:jc w:val="center"/>
        <w:rPr>
          <w:rFonts w:ascii="Times New Roman" w:hAnsi="Times New Roman" w:cs="Times New Roman"/>
          <w:b/>
          <w:bCs/>
          <w:color w:val="000000" w:themeColor="text1"/>
          <w:sz w:val="40"/>
          <w:szCs w:val="40"/>
          <w:lang w:val="vi-VN"/>
        </w:rPr>
      </w:pPr>
    </w:p>
    <w:p w14:paraId="46FE5DAD" w14:textId="77777777" w:rsidR="00342633" w:rsidRPr="00050474" w:rsidRDefault="00342633">
      <w:pPr>
        <w:rPr>
          <w:rFonts w:ascii="Times New Roman" w:hAnsi="Times New Roman" w:cs="Times New Roman"/>
          <w:b/>
          <w:bCs/>
          <w:color w:val="000000" w:themeColor="text1"/>
          <w:sz w:val="40"/>
          <w:szCs w:val="40"/>
          <w:lang w:val="vi-VN"/>
        </w:rPr>
      </w:pPr>
    </w:p>
    <w:p w14:paraId="275C8E7D" w14:textId="77777777" w:rsidR="00342633" w:rsidRPr="00050474" w:rsidRDefault="0051710A">
      <w:pPr>
        <w:jc w:val="center"/>
        <w:rPr>
          <w:rFonts w:ascii="Times New Roman" w:hAnsi="Times New Roman" w:cs="Times New Roman"/>
          <w:b/>
          <w:bCs/>
          <w:color w:val="000000" w:themeColor="text1"/>
          <w:sz w:val="32"/>
          <w:szCs w:val="32"/>
          <w:lang w:val="vi-VN"/>
        </w:rPr>
      </w:pPr>
      <w:r w:rsidRPr="00050474">
        <w:rPr>
          <w:rFonts w:ascii="Times New Roman" w:hAnsi="Times New Roman" w:cs="Times New Roman"/>
          <w:b/>
          <w:bCs/>
          <w:color w:val="000000" w:themeColor="text1"/>
          <w:sz w:val="32"/>
          <w:szCs w:val="32"/>
          <w:lang w:val="vi-VN"/>
        </w:rPr>
        <w:t>TÓM TẮT LUẬN ÁN TIẾN SĨ KINH TẾ</w:t>
      </w:r>
    </w:p>
    <w:p w14:paraId="24D326AE" w14:textId="77777777" w:rsidR="00342633" w:rsidRPr="00050474" w:rsidRDefault="00342633">
      <w:pPr>
        <w:jc w:val="center"/>
        <w:rPr>
          <w:rFonts w:ascii="Times New Roman" w:hAnsi="Times New Roman" w:cs="Times New Roman"/>
          <w:i/>
          <w:iCs/>
          <w:color w:val="000000" w:themeColor="text1"/>
          <w:sz w:val="32"/>
          <w:szCs w:val="32"/>
          <w:lang w:val="vi-VN"/>
        </w:rPr>
      </w:pPr>
    </w:p>
    <w:p w14:paraId="537FAFCF" w14:textId="77777777" w:rsidR="00342633" w:rsidRPr="00050474" w:rsidRDefault="00342633">
      <w:pPr>
        <w:jc w:val="center"/>
        <w:rPr>
          <w:rFonts w:ascii="Times New Roman" w:hAnsi="Times New Roman" w:cs="Times New Roman"/>
          <w:i/>
          <w:iCs/>
          <w:color w:val="000000" w:themeColor="text1"/>
          <w:sz w:val="24"/>
          <w:lang w:val="vi-VN"/>
        </w:rPr>
      </w:pPr>
    </w:p>
    <w:p w14:paraId="648886CB" w14:textId="77777777" w:rsidR="00342633" w:rsidRPr="00050474" w:rsidRDefault="00342633">
      <w:pPr>
        <w:spacing w:line="360" w:lineRule="auto"/>
        <w:ind w:left="2160" w:firstLine="720"/>
        <w:rPr>
          <w:rFonts w:ascii="Times New Roman" w:hAnsi="Times New Roman" w:cs="Times New Roman"/>
          <w:b/>
          <w:color w:val="000000" w:themeColor="text1"/>
          <w:sz w:val="28"/>
          <w:szCs w:val="28"/>
          <w:lang w:val="vi-VN"/>
        </w:rPr>
      </w:pPr>
    </w:p>
    <w:p w14:paraId="64A7F77B" w14:textId="77777777" w:rsidR="00342633" w:rsidRPr="00050474" w:rsidRDefault="0051710A">
      <w:pPr>
        <w:spacing w:line="360" w:lineRule="auto"/>
        <w:ind w:left="2160" w:firstLine="720"/>
        <w:rPr>
          <w:rFonts w:ascii="Times New Roman" w:hAnsi="Times New Roman" w:cs="Times New Roman"/>
          <w:b/>
          <w:bCs/>
          <w:iCs/>
          <w:color w:val="000000" w:themeColor="text1"/>
          <w:sz w:val="28"/>
          <w:szCs w:val="28"/>
          <w:lang w:val="vi-VN"/>
        </w:rPr>
      </w:pPr>
      <w:r w:rsidRPr="00050474">
        <w:rPr>
          <w:rFonts w:ascii="Times New Roman" w:hAnsi="Times New Roman" w:cs="Times New Roman"/>
          <w:b/>
          <w:bCs/>
          <w:iCs/>
          <w:color w:val="000000" w:themeColor="text1"/>
          <w:sz w:val="28"/>
          <w:szCs w:val="28"/>
          <w:lang w:val="vi-VN"/>
        </w:rPr>
        <w:t xml:space="preserve">       </w:t>
      </w:r>
    </w:p>
    <w:p w14:paraId="1ACE0C71" w14:textId="77777777" w:rsidR="00342633" w:rsidRPr="00050474" w:rsidRDefault="00342633">
      <w:pPr>
        <w:spacing w:line="360" w:lineRule="auto"/>
        <w:ind w:left="2160" w:firstLine="720"/>
        <w:rPr>
          <w:rFonts w:ascii="Times New Roman" w:hAnsi="Times New Roman" w:cs="Times New Roman"/>
          <w:b/>
          <w:bCs/>
          <w:iCs/>
          <w:color w:val="000000" w:themeColor="text1"/>
          <w:sz w:val="28"/>
          <w:szCs w:val="28"/>
          <w:lang w:val="vi-VN"/>
        </w:rPr>
      </w:pPr>
    </w:p>
    <w:p w14:paraId="6DC00DF6" w14:textId="77777777" w:rsidR="00342633" w:rsidRPr="00050474" w:rsidRDefault="00342633">
      <w:pPr>
        <w:spacing w:line="360" w:lineRule="auto"/>
        <w:ind w:left="2160" w:firstLine="720"/>
        <w:rPr>
          <w:rFonts w:ascii="Times New Roman" w:hAnsi="Times New Roman" w:cs="Times New Roman"/>
          <w:b/>
          <w:bCs/>
          <w:iCs/>
          <w:color w:val="000000" w:themeColor="text1"/>
          <w:sz w:val="28"/>
          <w:szCs w:val="28"/>
          <w:lang w:val="vi-VN"/>
        </w:rPr>
      </w:pPr>
    </w:p>
    <w:p w14:paraId="7BE47812" w14:textId="77777777" w:rsidR="00342633" w:rsidRPr="00050474" w:rsidRDefault="00342633">
      <w:pPr>
        <w:spacing w:line="360" w:lineRule="auto"/>
        <w:ind w:left="2160" w:firstLine="720"/>
        <w:rPr>
          <w:rFonts w:ascii="Times New Roman" w:hAnsi="Times New Roman" w:cs="Times New Roman"/>
          <w:b/>
          <w:bCs/>
          <w:iCs/>
          <w:color w:val="000000" w:themeColor="text1"/>
          <w:sz w:val="28"/>
          <w:szCs w:val="28"/>
          <w:lang w:val="vi-VN"/>
        </w:rPr>
      </w:pPr>
    </w:p>
    <w:p w14:paraId="06DF455A" w14:textId="77777777" w:rsidR="00342633" w:rsidRPr="00050474" w:rsidRDefault="00342633">
      <w:pPr>
        <w:spacing w:line="360" w:lineRule="auto"/>
        <w:ind w:left="2160" w:firstLine="720"/>
        <w:rPr>
          <w:rFonts w:ascii="Times New Roman" w:hAnsi="Times New Roman" w:cs="Times New Roman"/>
          <w:b/>
          <w:bCs/>
          <w:iCs/>
          <w:color w:val="000000" w:themeColor="text1"/>
          <w:sz w:val="28"/>
          <w:szCs w:val="28"/>
          <w:lang w:val="vi-VN"/>
        </w:rPr>
      </w:pPr>
    </w:p>
    <w:p w14:paraId="3E743615" w14:textId="77777777" w:rsidR="00342633" w:rsidRPr="00050474" w:rsidRDefault="0051710A">
      <w:pPr>
        <w:ind w:left="2160" w:hanging="2160"/>
        <w:jc w:val="center"/>
        <w:rPr>
          <w:rFonts w:ascii="Times New Roman" w:hAnsi="Times New Roman" w:cs="Times New Roman"/>
          <w:b/>
          <w:bCs/>
          <w:iCs/>
          <w:color w:val="000000" w:themeColor="text1"/>
          <w:sz w:val="28"/>
          <w:szCs w:val="28"/>
          <w:lang w:val="vi-VN"/>
        </w:rPr>
        <w:sectPr w:rsidR="00342633" w:rsidRPr="00050474">
          <w:headerReference w:type="default" r:id="rId9"/>
          <w:footerReference w:type="default" r:id="rId10"/>
          <w:headerReference w:type="first" r:id="rId11"/>
          <w:footerReference w:type="first" r:id="rId12"/>
          <w:pgSz w:w="11909" w:h="16834"/>
          <w:pgMar w:top="1134" w:right="1134" w:bottom="1134" w:left="1985" w:header="539" w:footer="420"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r w:rsidRPr="00050474">
        <w:rPr>
          <w:rFonts w:ascii="Times New Roman" w:hAnsi="Times New Roman" w:cs="Times New Roman"/>
          <w:b/>
          <w:bCs/>
          <w:iCs/>
          <w:color w:val="000000" w:themeColor="text1"/>
          <w:sz w:val="28"/>
          <w:szCs w:val="28"/>
          <w:lang w:val="vi-VN"/>
        </w:rPr>
        <w:t>Hà Nội, 2026</w:t>
      </w:r>
    </w:p>
    <w:p w14:paraId="0B4B99CD" w14:textId="77777777" w:rsidR="00342633" w:rsidRPr="00050474" w:rsidRDefault="00342633">
      <w:pPr>
        <w:ind w:left="2160" w:hanging="2160"/>
        <w:jc w:val="center"/>
        <w:rPr>
          <w:rFonts w:ascii="Times New Roman" w:hAnsi="Times New Roman" w:cs="Times New Roman"/>
          <w:b/>
          <w:bCs/>
          <w:iCs/>
          <w:color w:val="000000" w:themeColor="text1"/>
          <w:sz w:val="28"/>
          <w:szCs w:val="28"/>
          <w:lang w:val="vi-VN"/>
        </w:rPr>
      </w:pPr>
    </w:p>
    <w:p w14:paraId="6E57FC9A" w14:textId="77777777" w:rsidR="00342633" w:rsidRPr="00050474" w:rsidRDefault="0051710A">
      <w:pPr>
        <w:jc w:val="center"/>
        <w:rPr>
          <w:rFonts w:ascii="Times New Roman" w:hAnsi="Times New Roman" w:cs="Times New Roman"/>
          <w:b/>
          <w:color w:val="000000" w:themeColor="text1"/>
          <w:sz w:val="28"/>
          <w:szCs w:val="28"/>
          <w:lang w:val="vi-VN"/>
        </w:rPr>
      </w:pPr>
      <w:r w:rsidRPr="00050474">
        <w:rPr>
          <w:rFonts w:ascii="Times New Roman" w:hAnsi="Times New Roman" w:cs="Times New Roman"/>
          <w:color w:val="000000" w:themeColor="text1"/>
          <w:sz w:val="28"/>
          <w:szCs w:val="28"/>
          <w:lang w:val="vi-VN"/>
        </w:rPr>
        <w:t>Công trình được hoàn thành tại: HỌC VIỆN TÀI CHÍNH</w:t>
      </w:r>
    </w:p>
    <w:p w14:paraId="40828373" w14:textId="77777777" w:rsidR="00342633" w:rsidRPr="00050474" w:rsidRDefault="00342633">
      <w:pPr>
        <w:rPr>
          <w:rFonts w:ascii="Times New Roman" w:hAnsi="Times New Roman" w:cs="Times New Roman"/>
          <w:b/>
          <w:color w:val="000000" w:themeColor="text1"/>
          <w:sz w:val="28"/>
          <w:szCs w:val="28"/>
          <w:lang w:val="vi-VN"/>
        </w:rPr>
      </w:pPr>
    </w:p>
    <w:p w14:paraId="69F9B502" w14:textId="77777777" w:rsidR="00342633" w:rsidRPr="00050474" w:rsidRDefault="00342633">
      <w:pPr>
        <w:rPr>
          <w:rFonts w:ascii="Times New Roman" w:hAnsi="Times New Roman" w:cs="Times New Roman"/>
          <w:color w:val="000000" w:themeColor="text1"/>
          <w:sz w:val="24"/>
          <w:lang w:val="vi-VN"/>
        </w:rPr>
      </w:pPr>
    </w:p>
    <w:p w14:paraId="2BA1EC96" w14:textId="77777777" w:rsidR="00342633" w:rsidRPr="00050474" w:rsidRDefault="00342633">
      <w:pPr>
        <w:rPr>
          <w:rFonts w:ascii="Times New Roman" w:hAnsi="Times New Roman" w:cs="Times New Roman"/>
          <w:color w:val="000000" w:themeColor="text1"/>
          <w:sz w:val="24"/>
          <w:lang w:val="vi-VN"/>
        </w:rPr>
      </w:pPr>
    </w:p>
    <w:p w14:paraId="7DFE0EAE" w14:textId="77777777" w:rsidR="00342633" w:rsidRPr="00050474" w:rsidRDefault="00342633">
      <w:pPr>
        <w:rPr>
          <w:rFonts w:ascii="Times New Roman" w:hAnsi="Times New Roman" w:cs="Times New Roman"/>
          <w:color w:val="000000" w:themeColor="text1"/>
          <w:sz w:val="24"/>
          <w:lang w:val="vi-VN"/>
        </w:rPr>
      </w:pPr>
    </w:p>
    <w:p w14:paraId="16862166" w14:textId="77777777" w:rsidR="00342633" w:rsidRPr="00050474" w:rsidRDefault="00342633">
      <w:pPr>
        <w:rPr>
          <w:rFonts w:ascii="Times New Roman" w:hAnsi="Times New Roman" w:cs="Times New Roman"/>
          <w:color w:val="000000" w:themeColor="text1"/>
          <w:sz w:val="24"/>
          <w:lang w:val="vi-VN"/>
        </w:rPr>
      </w:pPr>
    </w:p>
    <w:p w14:paraId="32BC0705" w14:textId="77777777" w:rsidR="00342633" w:rsidRPr="00050474" w:rsidRDefault="00342633">
      <w:pPr>
        <w:rPr>
          <w:rFonts w:ascii="Times New Roman" w:hAnsi="Times New Roman" w:cs="Times New Roman"/>
          <w:color w:val="000000" w:themeColor="text1"/>
          <w:sz w:val="24"/>
          <w:lang w:val="vi-VN"/>
        </w:rPr>
      </w:pPr>
    </w:p>
    <w:p w14:paraId="726610CC" w14:textId="77777777" w:rsidR="00342633" w:rsidRPr="00050474" w:rsidRDefault="0051710A">
      <w:pPr>
        <w:autoSpaceDE w:val="0"/>
        <w:autoSpaceDN w:val="0"/>
        <w:adjustRightInd w:val="0"/>
        <w:spacing w:before="60" w:after="60"/>
        <w:ind w:right="710" w:firstLine="1134"/>
        <w:rPr>
          <w:rFonts w:ascii="Times New Roman" w:hAnsi="Times New Roman" w:cs="Times New Roman"/>
          <w:bCs/>
          <w:color w:val="000000" w:themeColor="text1"/>
          <w:sz w:val="28"/>
          <w:szCs w:val="28"/>
          <w:lang w:val="vi-VN"/>
        </w:rPr>
      </w:pPr>
      <w:r w:rsidRPr="00050474">
        <w:rPr>
          <w:rFonts w:ascii="Times New Roman" w:hAnsi="Times New Roman" w:cs="Times New Roman"/>
          <w:bCs/>
          <w:color w:val="000000" w:themeColor="text1"/>
          <w:sz w:val="28"/>
          <w:szCs w:val="28"/>
          <w:lang w:val="vi-VN"/>
        </w:rPr>
        <w:t>Người hướng dẫn khoa học:</w:t>
      </w:r>
    </w:p>
    <w:p w14:paraId="509F54F9" w14:textId="77777777" w:rsidR="00342633" w:rsidRPr="00050474" w:rsidRDefault="00342633">
      <w:pPr>
        <w:autoSpaceDE w:val="0"/>
        <w:autoSpaceDN w:val="0"/>
        <w:adjustRightInd w:val="0"/>
        <w:spacing w:before="60" w:after="60"/>
        <w:ind w:right="710" w:firstLine="1134"/>
        <w:rPr>
          <w:rFonts w:ascii="Times New Roman" w:hAnsi="Times New Roman" w:cs="Times New Roman"/>
          <w:bCs/>
          <w:color w:val="000000" w:themeColor="text1"/>
          <w:sz w:val="28"/>
          <w:szCs w:val="28"/>
          <w:lang w:val="vi-VN"/>
        </w:rPr>
      </w:pPr>
    </w:p>
    <w:p w14:paraId="0B8BBFD5" w14:textId="77777777" w:rsidR="00342633" w:rsidRPr="00050474" w:rsidRDefault="0051710A">
      <w:pPr>
        <w:spacing w:before="120" w:after="120"/>
        <w:ind w:right="710" w:firstLine="2268"/>
        <w:rPr>
          <w:rFonts w:ascii="Times New Roman" w:hAnsi="Times New Roman" w:cs="Times New Roman"/>
          <w:bCs/>
          <w:color w:val="000000" w:themeColor="text1"/>
          <w:sz w:val="28"/>
          <w:szCs w:val="28"/>
          <w:lang w:val="vi-VN"/>
        </w:rPr>
      </w:pPr>
      <w:r w:rsidRPr="00050474">
        <w:rPr>
          <w:rFonts w:ascii="Times New Roman" w:hAnsi="Times New Roman" w:cs="Times New Roman"/>
          <w:bCs/>
          <w:color w:val="000000" w:themeColor="text1"/>
          <w:sz w:val="28"/>
          <w:szCs w:val="28"/>
          <w:lang w:val="vi-VN"/>
        </w:rPr>
        <w:t xml:space="preserve">PGS, TS. </w:t>
      </w:r>
      <w:r w:rsidRPr="00050474">
        <w:rPr>
          <w:rFonts w:ascii="Times New Roman" w:eastAsia="Calibri" w:hAnsi="Times New Roman" w:cs="Times New Roman"/>
          <w:color w:val="000000" w:themeColor="text1"/>
          <w:szCs w:val="26"/>
          <w:lang w:val="vi-VN"/>
        </w:rPr>
        <w:t>Ngô Thị Thu Hồng</w:t>
      </w:r>
    </w:p>
    <w:p w14:paraId="0B4B0D06" w14:textId="77777777" w:rsidR="00342633" w:rsidRPr="00050474" w:rsidRDefault="0051710A">
      <w:pPr>
        <w:spacing w:before="120" w:after="120"/>
        <w:ind w:firstLine="2268"/>
        <w:rPr>
          <w:rFonts w:ascii="Times New Roman" w:hAnsi="Times New Roman" w:cs="Times New Roman"/>
          <w:bCs/>
          <w:iCs/>
          <w:color w:val="000000" w:themeColor="text1"/>
          <w:sz w:val="28"/>
          <w:szCs w:val="28"/>
          <w:lang w:val="vi-VN"/>
        </w:rPr>
      </w:pPr>
      <w:r w:rsidRPr="00050474">
        <w:rPr>
          <w:rFonts w:ascii="Times New Roman" w:hAnsi="Times New Roman" w:cs="Times New Roman"/>
          <w:bCs/>
          <w:color w:val="000000" w:themeColor="text1"/>
          <w:sz w:val="28"/>
          <w:szCs w:val="28"/>
          <w:lang w:val="vi-VN"/>
        </w:rPr>
        <w:t xml:space="preserve">         TS. </w:t>
      </w:r>
      <w:r w:rsidRPr="00050474">
        <w:rPr>
          <w:rFonts w:ascii="Times New Roman" w:hAnsi="Times New Roman" w:cs="Times New Roman"/>
          <w:iCs/>
          <w:color w:val="000000" w:themeColor="text1"/>
          <w:szCs w:val="26"/>
          <w:lang w:val="vi-VN"/>
        </w:rPr>
        <w:t>Bùi Thị Thu Hương</w:t>
      </w:r>
    </w:p>
    <w:p w14:paraId="593F4CF6" w14:textId="77777777" w:rsidR="00342633" w:rsidRPr="00050474" w:rsidRDefault="00342633">
      <w:pPr>
        <w:rPr>
          <w:rFonts w:ascii="Times New Roman" w:hAnsi="Times New Roman" w:cs="Times New Roman"/>
          <w:bCs/>
          <w:color w:val="000000" w:themeColor="text1"/>
          <w:sz w:val="24"/>
          <w:lang w:val="vi-VN"/>
        </w:rPr>
      </w:pPr>
    </w:p>
    <w:p w14:paraId="6C785288" w14:textId="77777777" w:rsidR="00342633" w:rsidRPr="00050474" w:rsidRDefault="00342633">
      <w:pPr>
        <w:rPr>
          <w:rFonts w:ascii="Times New Roman" w:hAnsi="Times New Roman" w:cs="Times New Roman"/>
          <w:color w:val="000000" w:themeColor="text1"/>
          <w:sz w:val="24"/>
          <w:lang w:val="vi-VN"/>
        </w:rPr>
      </w:pPr>
    </w:p>
    <w:p w14:paraId="5F030B17" w14:textId="77777777" w:rsidR="00342633" w:rsidRPr="00050474" w:rsidRDefault="00342633">
      <w:pPr>
        <w:rPr>
          <w:rFonts w:ascii="Times New Roman" w:hAnsi="Times New Roman" w:cs="Times New Roman"/>
          <w:color w:val="000000" w:themeColor="text1"/>
          <w:sz w:val="24"/>
          <w:lang w:val="vi-VN"/>
        </w:rPr>
      </w:pPr>
    </w:p>
    <w:p w14:paraId="12CD498D" w14:textId="77777777" w:rsidR="00342633" w:rsidRPr="00050474" w:rsidRDefault="00342633">
      <w:pPr>
        <w:rPr>
          <w:rFonts w:ascii="Times New Roman" w:hAnsi="Times New Roman" w:cs="Times New Roman"/>
          <w:color w:val="000000" w:themeColor="text1"/>
          <w:sz w:val="24"/>
          <w:lang w:val="vi-VN"/>
        </w:rPr>
      </w:pPr>
    </w:p>
    <w:p w14:paraId="688B51AE" w14:textId="77777777" w:rsidR="00342633" w:rsidRPr="00050474" w:rsidRDefault="00342633">
      <w:pPr>
        <w:spacing w:before="120" w:after="120" w:line="324" w:lineRule="auto"/>
        <w:jc w:val="center"/>
        <w:rPr>
          <w:rFonts w:ascii="Times New Roman" w:hAnsi="Times New Roman" w:cs="Times New Roman"/>
          <w:b/>
          <w:bCs/>
          <w:color w:val="000000" w:themeColor="text1"/>
          <w:spacing w:val="6"/>
          <w:sz w:val="28"/>
          <w:szCs w:val="28"/>
          <w:lang w:val="vi-VN"/>
        </w:rPr>
      </w:pPr>
    </w:p>
    <w:p w14:paraId="43C9678A" w14:textId="77777777" w:rsidR="00342633" w:rsidRPr="00050474" w:rsidRDefault="0051710A">
      <w:pPr>
        <w:spacing w:before="120" w:after="120" w:line="360" w:lineRule="auto"/>
        <w:ind w:left="425" w:right="284"/>
        <w:rPr>
          <w:rFonts w:ascii="Times New Roman" w:hAnsi="Times New Roman" w:cs="Times New Roman"/>
          <w:color w:val="000000" w:themeColor="text1"/>
          <w:spacing w:val="6"/>
          <w:sz w:val="28"/>
          <w:szCs w:val="28"/>
          <w:lang w:val="vi-VN"/>
        </w:rPr>
      </w:pPr>
      <w:r w:rsidRPr="00050474">
        <w:rPr>
          <w:rFonts w:ascii="Times New Roman" w:hAnsi="Times New Roman" w:cs="Times New Roman"/>
          <w:color w:val="000000" w:themeColor="text1"/>
          <w:spacing w:val="6"/>
          <w:sz w:val="28"/>
          <w:szCs w:val="28"/>
          <w:lang w:val="vi-VN"/>
        </w:rPr>
        <w:t>Phản biện 1: …...…………………………….……………………….</w:t>
      </w:r>
    </w:p>
    <w:p w14:paraId="2095DF1E" w14:textId="77777777" w:rsidR="00342633" w:rsidRPr="00050474" w:rsidRDefault="0051710A">
      <w:pPr>
        <w:spacing w:before="120" w:after="120" w:line="360" w:lineRule="auto"/>
        <w:ind w:left="425" w:right="284"/>
        <w:jc w:val="center"/>
        <w:rPr>
          <w:rFonts w:ascii="Times New Roman" w:hAnsi="Times New Roman" w:cs="Times New Roman"/>
          <w:color w:val="000000" w:themeColor="text1"/>
          <w:spacing w:val="6"/>
          <w:sz w:val="28"/>
          <w:szCs w:val="28"/>
          <w:lang w:val="vi-VN"/>
        </w:rPr>
      </w:pPr>
      <w:r w:rsidRPr="00050474">
        <w:rPr>
          <w:rFonts w:ascii="Times New Roman" w:hAnsi="Times New Roman" w:cs="Times New Roman"/>
          <w:color w:val="000000" w:themeColor="text1"/>
          <w:spacing w:val="6"/>
          <w:sz w:val="28"/>
          <w:szCs w:val="28"/>
          <w:lang w:val="vi-VN"/>
        </w:rPr>
        <w:t>..………….……………………………………………………………</w:t>
      </w:r>
    </w:p>
    <w:p w14:paraId="309D4E67" w14:textId="77777777" w:rsidR="00342633" w:rsidRPr="00050474" w:rsidRDefault="0051710A">
      <w:pPr>
        <w:spacing w:before="120" w:after="120" w:line="360" w:lineRule="auto"/>
        <w:ind w:left="425" w:right="284"/>
        <w:rPr>
          <w:rFonts w:ascii="Times New Roman" w:hAnsi="Times New Roman" w:cs="Times New Roman"/>
          <w:color w:val="000000" w:themeColor="text1"/>
          <w:spacing w:val="6"/>
          <w:sz w:val="28"/>
          <w:szCs w:val="28"/>
          <w:lang w:val="vi-VN"/>
        </w:rPr>
      </w:pPr>
      <w:r w:rsidRPr="00050474">
        <w:rPr>
          <w:rFonts w:ascii="Times New Roman" w:hAnsi="Times New Roman" w:cs="Times New Roman"/>
          <w:color w:val="000000" w:themeColor="text1"/>
          <w:spacing w:val="6"/>
          <w:sz w:val="28"/>
          <w:szCs w:val="28"/>
          <w:lang w:val="vi-VN"/>
        </w:rPr>
        <w:t>Phản biện 2: …...…………………………….……………………….</w:t>
      </w:r>
    </w:p>
    <w:p w14:paraId="1DD58A5B" w14:textId="77777777" w:rsidR="00342633" w:rsidRPr="00050474" w:rsidRDefault="0051710A">
      <w:pPr>
        <w:spacing w:before="120" w:after="120" w:line="360" w:lineRule="auto"/>
        <w:ind w:left="425" w:right="284"/>
        <w:jc w:val="center"/>
        <w:rPr>
          <w:rFonts w:ascii="Times New Roman" w:hAnsi="Times New Roman" w:cs="Times New Roman"/>
          <w:color w:val="000000" w:themeColor="text1"/>
          <w:spacing w:val="6"/>
          <w:sz w:val="28"/>
          <w:szCs w:val="28"/>
          <w:lang w:val="vi-VN"/>
        </w:rPr>
      </w:pPr>
      <w:r w:rsidRPr="00050474">
        <w:rPr>
          <w:rFonts w:ascii="Times New Roman" w:hAnsi="Times New Roman" w:cs="Times New Roman"/>
          <w:color w:val="000000" w:themeColor="text1"/>
          <w:spacing w:val="6"/>
          <w:sz w:val="28"/>
          <w:szCs w:val="28"/>
          <w:lang w:val="vi-VN"/>
        </w:rPr>
        <w:t>..………….……………………………………………………………</w:t>
      </w:r>
    </w:p>
    <w:p w14:paraId="24297CBB" w14:textId="77777777" w:rsidR="00342633" w:rsidRPr="00050474" w:rsidRDefault="0051710A">
      <w:pPr>
        <w:spacing w:before="120" w:after="120" w:line="360" w:lineRule="auto"/>
        <w:ind w:left="425" w:right="284"/>
        <w:rPr>
          <w:rFonts w:ascii="Times New Roman" w:hAnsi="Times New Roman" w:cs="Times New Roman"/>
          <w:color w:val="000000" w:themeColor="text1"/>
          <w:spacing w:val="6"/>
          <w:sz w:val="28"/>
          <w:szCs w:val="28"/>
          <w:lang w:val="vi-VN"/>
        </w:rPr>
      </w:pPr>
      <w:r w:rsidRPr="00050474">
        <w:rPr>
          <w:rFonts w:ascii="Times New Roman" w:hAnsi="Times New Roman" w:cs="Times New Roman"/>
          <w:color w:val="000000" w:themeColor="text1"/>
          <w:spacing w:val="6"/>
          <w:sz w:val="28"/>
          <w:szCs w:val="28"/>
          <w:lang w:val="vi-VN"/>
        </w:rPr>
        <w:t>Phản biện 3: …...…………………………….……………………….</w:t>
      </w:r>
    </w:p>
    <w:p w14:paraId="66A2EA32" w14:textId="77777777" w:rsidR="00342633" w:rsidRPr="00050474" w:rsidRDefault="0051710A">
      <w:pPr>
        <w:spacing w:before="120" w:after="120" w:line="360" w:lineRule="auto"/>
        <w:ind w:left="425" w:right="284"/>
        <w:jc w:val="center"/>
        <w:rPr>
          <w:rFonts w:ascii="Times New Roman" w:hAnsi="Times New Roman" w:cs="Times New Roman"/>
          <w:color w:val="000000" w:themeColor="text1"/>
          <w:spacing w:val="6"/>
          <w:sz w:val="28"/>
          <w:szCs w:val="28"/>
          <w:lang w:val="vi-VN"/>
        </w:rPr>
      </w:pPr>
      <w:r w:rsidRPr="00050474">
        <w:rPr>
          <w:rFonts w:ascii="Times New Roman" w:hAnsi="Times New Roman" w:cs="Times New Roman"/>
          <w:color w:val="000000" w:themeColor="text1"/>
          <w:spacing w:val="6"/>
          <w:sz w:val="28"/>
          <w:szCs w:val="28"/>
          <w:lang w:val="vi-VN"/>
        </w:rPr>
        <w:t>..………….……………………………………………………………</w:t>
      </w:r>
    </w:p>
    <w:p w14:paraId="12FF7F52" w14:textId="77777777" w:rsidR="00342633" w:rsidRPr="00050474" w:rsidRDefault="00342633">
      <w:pPr>
        <w:spacing w:line="360" w:lineRule="auto"/>
        <w:jc w:val="center"/>
        <w:rPr>
          <w:rFonts w:ascii="Times New Roman" w:hAnsi="Times New Roman" w:cs="Times New Roman"/>
          <w:b/>
          <w:color w:val="000000" w:themeColor="text1"/>
          <w:sz w:val="27"/>
          <w:szCs w:val="27"/>
          <w:lang w:val="vi-VN"/>
        </w:rPr>
      </w:pPr>
    </w:p>
    <w:p w14:paraId="6EC429A1" w14:textId="77777777" w:rsidR="00342633" w:rsidRPr="00050474" w:rsidRDefault="00342633">
      <w:pPr>
        <w:spacing w:line="360" w:lineRule="auto"/>
        <w:jc w:val="center"/>
        <w:rPr>
          <w:rFonts w:ascii="Times New Roman" w:hAnsi="Times New Roman" w:cs="Times New Roman"/>
          <w:color w:val="000000" w:themeColor="text1"/>
          <w:szCs w:val="26"/>
          <w:lang w:val="vi-VN"/>
        </w:rPr>
      </w:pPr>
    </w:p>
    <w:p w14:paraId="767DF235" w14:textId="77777777" w:rsidR="00342633" w:rsidRPr="00050474" w:rsidRDefault="00342633">
      <w:pPr>
        <w:jc w:val="center"/>
        <w:rPr>
          <w:rFonts w:ascii="Times New Roman" w:hAnsi="Times New Roman" w:cs="Times New Roman"/>
          <w:i/>
          <w:iCs/>
          <w:color w:val="000000" w:themeColor="text1"/>
          <w:szCs w:val="26"/>
          <w:lang w:val="vi-VN"/>
        </w:rPr>
      </w:pPr>
    </w:p>
    <w:p w14:paraId="58C1CAAC" w14:textId="77777777" w:rsidR="00342633" w:rsidRPr="00050474" w:rsidRDefault="00342633">
      <w:pPr>
        <w:tabs>
          <w:tab w:val="left" w:pos="7513"/>
          <w:tab w:val="left" w:pos="7938"/>
        </w:tabs>
        <w:jc w:val="right"/>
        <w:rPr>
          <w:rFonts w:ascii="Times New Roman" w:hAnsi="Times New Roman" w:cs="Times New Roman"/>
          <w:b/>
          <w:bCs/>
          <w:iCs/>
          <w:color w:val="000000" w:themeColor="text1"/>
          <w:sz w:val="28"/>
          <w:szCs w:val="28"/>
          <w:lang w:val="vi-VN"/>
        </w:rPr>
      </w:pPr>
    </w:p>
    <w:p w14:paraId="1D890639" w14:textId="77777777" w:rsidR="00342633" w:rsidRPr="00050474" w:rsidRDefault="0051710A">
      <w:pPr>
        <w:spacing w:line="360" w:lineRule="auto"/>
        <w:ind w:left="2160" w:firstLine="720"/>
        <w:rPr>
          <w:rFonts w:ascii="Times New Roman" w:hAnsi="Times New Roman" w:cs="Times New Roman"/>
          <w:b/>
          <w:bCs/>
          <w:iCs/>
          <w:color w:val="000000" w:themeColor="text1"/>
          <w:sz w:val="28"/>
          <w:szCs w:val="28"/>
          <w:lang w:val="vi-VN"/>
        </w:rPr>
      </w:pPr>
      <w:r w:rsidRPr="00050474">
        <w:rPr>
          <w:rFonts w:ascii="Times New Roman" w:hAnsi="Times New Roman" w:cs="Times New Roman"/>
          <w:b/>
          <w:bCs/>
          <w:iCs/>
          <w:color w:val="000000" w:themeColor="text1"/>
          <w:sz w:val="28"/>
          <w:szCs w:val="28"/>
          <w:lang w:val="vi-VN"/>
        </w:rPr>
        <w:t xml:space="preserve">         </w:t>
      </w:r>
    </w:p>
    <w:p w14:paraId="2CC0751A" w14:textId="77777777" w:rsidR="00342633" w:rsidRPr="00050474" w:rsidRDefault="00342633">
      <w:pPr>
        <w:spacing w:line="360" w:lineRule="auto"/>
        <w:ind w:left="2160" w:firstLine="720"/>
        <w:rPr>
          <w:rFonts w:ascii="Times New Roman" w:hAnsi="Times New Roman" w:cs="Times New Roman"/>
          <w:b/>
          <w:bCs/>
          <w:iCs/>
          <w:color w:val="000000" w:themeColor="text1"/>
          <w:sz w:val="28"/>
          <w:szCs w:val="28"/>
          <w:lang w:val="vi-VN"/>
        </w:rPr>
      </w:pPr>
    </w:p>
    <w:p w14:paraId="6E59295B" w14:textId="77777777" w:rsidR="00342633" w:rsidRPr="00050474" w:rsidRDefault="00342633">
      <w:pPr>
        <w:spacing w:line="360" w:lineRule="auto"/>
        <w:ind w:left="2160" w:hanging="2160"/>
        <w:jc w:val="center"/>
        <w:rPr>
          <w:rFonts w:ascii="Times New Roman" w:hAnsi="Times New Roman" w:cs="Times New Roman"/>
          <w:b/>
          <w:bCs/>
          <w:iCs/>
          <w:color w:val="000000" w:themeColor="text1"/>
          <w:sz w:val="28"/>
          <w:szCs w:val="28"/>
          <w:lang w:val="vi-VN"/>
        </w:rPr>
      </w:pPr>
    </w:p>
    <w:p w14:paraId="6D9469C3" w14:textId="77777777" w:rsidR="00342633" w:rsidRPr="00050474" w:rsidRDefault="0051710A">
      <w:pPr>
        <w:spacing w:line="360" w:lineRule="auto"/>
        <w:ind w:left="142"/>
        <w:jc w:val="center"/>
        <w:rPr>
          <w:rFonts w:ascii="Times New Roman" w:hAnsi="Times New Roman" w:cs="Times New Roman"/>
          <w:iCs/>
          <w:color w:val="000000" w:themeColor="text1"/>
          <w:sz w:val="28"/>
          <w:szCs w:val="28"/>
          <w:lang w:val="vi-VN"/>
        </w:rPr>
        <w:sectPr w:rsidR="00342633" w:rsidRPr="00050474">
          <w:headerReference w:type="first" r:id="rId13"/>
          <w:pgSz w:w="11909" w:h="16834"/>
          <w:pgMar w:top="1134" w:right="1134" w:bottom="1134" w:left="1985" w:header="539" w:footer="420" w:gutter="0"/>
          <w:pgBorders w:display="firstPage">
            <w:top w:val="thinThickSmallGap" w:sz="24" w:space="1" w:color="auto"/>
            <w:left w:val="thinThickSmallGap" w:sz="24" w:space="4" w:color="auto"/>
            <w:bottom w:val="thickThinSmallGap" w:sz="24" w:space="1" w:color="auto"/>
            <w:right w:val="thickThinSmallGap" w:sz="24" w:space="4" w:color="auto"/>
          </w:pgBorders>
          <w:pgNumType w:fmt="lowerRoman" w:start="1"/>
          <w:cols w:space="720"/>
          <w:titlePg/>
          <w:docGrid w:linePitch="360"/>
        </w:sectPr>
      </w:pPr>
      <w:r w:rsidRPr="00050474">
        <w:rPr>
          <w:rFonts w:ascii="Times New Roman" w:hAnsi="Times New Roman" w:cs="Times New Roman"/>
          <w:iCs/>
          <w:color w:val="000000" w:themeColor="text1"/>
          <w:sz w:val="28"/>
          <w:szCs w:val="28"/>
          <w:lang w:val="vi-VN"/>
        </w:rPr>
        <w:t xml:space="preserve">Luận án sẽ được bảo vệ tại Hội đồng chấm luận án cấp Học viện, họp tại Học viện Tài chính vào hồi ….. giờ … ngày ..… tháng ..… năm……… </w:t>
      </w:r>
    </w:p>
    <w:p w14:paraId="71AA58A5" w14:textId="77777777" w:rsidR="00342633" w:rsidRPr="00050474" w:rsidRDefault="0051710A">
      <w:pPr>
        <w:pStyle w:val="11"/>
        <w:spacing w:before="0" w:after="0"/>
        <w:jc w:val="center"/>
        <w:outlineLvl w:val="0"/>
        <w:rPr>
          <w:color w:val="000000" w:themeColor="text1"/>
        </w:rPr>
      </w:pPr>
      <w:bookmarkStart w:id="0" w:name="_Toc216648167"/>
      <w:r w:rsidRPr="00050474">
        <w:rPr>
          <w:color w:val="000000" w:themeColor="text1"/>
        </w:rPr>
        <w:lastRenderedPageBreak/>
        <w:t>PHẦN MỞ ĐẦU</w:t>
      </w:r>
      <w:bookmarkEnd w:id="0"/>
    </w:p>
    <w:p w14:paraId="2F17A70E" w14:textId="77777777" w:rsidR="00342633" w:rsidRPr="00050474" w:rsidRDefault="0051710A">
      <w:pPr>
        <w:pStyle w:val="11"/>
        <w:spacing w:before="0" w:after="0"/>
        <w:outlineLvl w:val="0"/>
        <w:rPr>
          <w:color w:val="000000" w:themeColor="text1"/>
        </w:rPr>
      </w:pPr>
      <w:bookmarkStart w:id="1" w:name="_Toc216648168"/>
      <w:r w:rsidRPr="00050474">
        <w:rPr>
          <w:color w:val="000000" w:themeColor="text1"/>
        </w:rPr>
        <w:t>1. Tính cấp thiết của đề tài</w:t>
      </w:r>
      <w:bookmarkEnd w:id="1"/>
    </w:p>
    <w:p w14:paraId="39709A54"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Trong bối cảnh nền kinh tế Việt Nam ngày càng hội nhập sâu rộng, ngành y tế đã và đang trải qua những cải cách mạnh mẽ. Một trong những thay đổi trọng yếu là việc áp dụng cơ chế tự chủ tài chính cho các đơn vị sự nghiệp công lập, được quy định trong các văn bản pháp lý như Nghị định 60/2021/NĐ-CP và Nghị định 111/2025/NĐ-CP. Chính sách này đã tạo ra một khuôn khổ rộng mở, giúp các đơn vị sự nghiệp công lập nói chung, bệnh viện công lập nói riêng chủ động hơn trong hoạt động, giảm dần sự phụ thuộc vào ngân sách nhà nước, đồng thời góp phần nâng cao chất lượng dịch vụ và khẳng định vị thế của ngành y học nước nhà.</w:t>
      </w:r>
    </w:p>
    <w:p w14:paraId="2FDD64FA"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Tuy nhiên, quá trình chuyển đổi này cũng đặt ra nhiều thách thức to lớn. Các bệnh viện công đang đối mặt với áp lực tài chính nghiêm trọng khi giá dịch vụ y tế chưa được tính đúng, tính đủ, dẫn đến nguồn thu không đủ bù đắp chi phí và tái đầu tư. Sự phụ thuộc quá lớn vào nguồn thanh toán từ Bảo hiểm y tế càng làm gia tăng rủi ro tài chính. Ngoài ra, việc cạnh tranh về nhân sự trở nên gay gắt hơn bao giờ hết, với hiện tượng dịch chuyển đội ngũ y bác sĩ có chuyên môn cao sang khu vực tư nhân do sự chênh lệch về thu nhập. Các quy định hành chính phức tạp và hạn chế trong việc khai thác tài sản công cũng là những rào cản làm giảm tính linh hoạt của các đơn vị y tế.</w:t>
      </w:r>
    </w:p>
    <w:p w14:paraId="5B77AA34"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Đặc biệt, trong bối cảnh chủ trương sáp nhập các đơn vị hành chính cấp tỉnh, Xã/Phường đang được triển khai mạnh mẽ, hệ thống y tế công lập tại Việt Nam nói chung và khu vực Đồng bằng sông Cửu Long (ĐBSCL) nói riêng đang đứng trước những thay đổi mang tính hệ thống. Việc sáp nhập các địa phương sẽ dẫn đến việc tái cơ cấu các bệnh viện, phòng khám và các cơ sở y tế khác, kéo theo những xáo trộn lớn về cơ cấu tổ chức, nhân sự, tài sản và đặc biệt là công tác tài chính, kế toán. Sự thay đổi này đòi hỏi các bệnh viện phải có sự chuẩn bị và thích ứng kịp thời, nếu không sẽ đối mặt với nguy cơ gián đoạn hoạt động và thiếu sự đồng bộ trong quản lý.</w:t>
      </w:r>
    </w:p>
    <w:p w14:paraId="18C96F80" w14:textId="0EE57C08"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Theo Luật Kế toán số 88 năm 2015, các đơn vị công phải xây dựng một hệ thống kế toán đầy đủ, khoa học và phù hợp với đặc thù hoạt động. Để cụ thể hóa điều này, các văn bản mới đã được ban hành, bao gồm Chuẩn mực kế toán công Việt Nam và gần đây nhất là </w:t>
      </w:r>
      <w:r w:rsidR="00983A9B" w:rsidRPr="00050474">
        <w:rPr>
          <w:rFonts w:ascii="Times New Roman" w:hAnsi="Times New Roman" w:cs="Times New Roman"/>
          <w:noProof/>
          <w:color w:val="000000" w:themeColor="text1"/>
          <w:szCs w:val="26"/>
          <w:lang w:val="vi-VN"/>
        </w:rPr>
        <w:t>Thông tư số 24/2024/TT-BTC</w:t>
      </w:r>
      <w:r w:rsidR="00EA4EDB"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color w:val="000000" w:themeColor="text1"/>
          <w:szCs w:val="26"/>
          <w:lang w:val="vi-VN"/>
        </w:rPr>
        <w:t xml:space="preserve">thay thế Thông tư 107/2017/TT-BTC. Bên cạnh đó, sự ra đời của các chuẩn mực </w:t>
      </w:r>
      <w:r w:rsidR="00017334" w:rsidRPr="00050474">
        <w:rPr>
          <w:rFonts w:ascii="Times New Roman" w:hAnsi="Times New Roman" w:cs="Times New Roman"/>
          <w:color w:val="000000" w:themeColor="text1"/>
          <w:szCs w:val="26"/>
          <w:lang w:val="vi-VN"/>
        </w:rPr>
        <w:t xml:space="preserve">kế toán </w:t>
      </w:r>
      <w:r w:rsidR="00017334" w:rsidRPr="00050474">
        <w:rPr>
          <w:rFonts w:ascii="Times New Roman" w:hAnsi="Times New Roman" w:cs="Times New Roman"/>
          <w:noProof/>
          <w:color w:val="000000" w:themeColor="text1"/>
          <w:szCs w:val="26"/>
          <w:lang w:val="vi-VN"/>
        </w:rPr>
        <w:t>và Thông tư số 24/2024/TT-BTC</w:t>
      </w:r>
      <w:r w:rsidRPr="00050474">
        <w:rPr>
          <w:rFonts w:ascii="Times New Roman" w:hAnsi="Times New Roman" w:cs="Times New Roman"/>
          <w:color w:val="000000" w:themeColor="text1"/>
          <w:szCs w:val="26"/>
          <w:lang w:val="vi-VN"/>
        </w:rPr>
        <w:t xml:space="preserve"> đã tạo ra một khung pháp lý vững chắc, giúp kế toán các đơn vị sự nghiệp công lập có thể đo lường, ghi nhận và trình bày thông tin tài chính một cách minh bạch, hữu ích hơn. Tuy nhiên, </w:t>
      </w:r>
      <w:r w:rsidRPr="00050474">
        <w:rPr>
          <w:rFonts w:ascii="Times New Roman" w:hAnsi="Times New Roman" w:cs="Times New Roman"/>
          <w:color w:val="000000" w:themeColor="text1"/>
          <w:szCs w:val="26"/>
          <w:lang w:val="vi-VN"/>
        </w:rPr>
        <w:lastRenderedPageBreak/>
        <w:t>việc chuyển đổi từ các quy định cũ sang các chuẩn mực mới này là một quá trình phức tạp và đầy thách thức.</w:t>
      </w:r>
    </w:p>
    <w:p w14:paraId="02C7367A" w14:textId="7FA39F8F"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Mặc dù có những nỗ lực từ cấp trung ương, các bệnh viện công lập tại khu vực ĐBSCL vẫn gặp nhiều lúng túng trong việc áp dụng các quy định mới. Thách thức lớn nhất là việc thiếu sự đồng bộ trong báo cáo tài chính, biểu mẫu chưa đáp ứng yêu cầu của Kho bạc Nhà nước và quy trình hạch toán còn mang tính thủ công, tốn nhiều thời gian. Những vướng mắc này nếu không được giải quyết kịp thời sẽ cản trở các bệnh viện phát huy hết tiềm năng tự chủ của mình. Các nghiên cứu trước đây về công tác kế toán tại các đơn vị sự nghiệp công lập, như nghiên cứu của Lê Kim Ngọc (2009), Lê Thị Thanh Hương (2012) và Bùi Thị Yến Linh (2014), </w:t>
      </w:r>
      <w:bookmarkStart w:id="2" w:name="_Hlk238305349"/>
      <w:r w:rsidR="00983A9B" w:rsidRPr="00050474">
        <w:rPr>
          <w:rFonts w:ascii="Times New Roman" w:hAnsi="Times New Roman" w:cs="Times New Roman"/>
          <w:noProof/>
          <w:color w:val="000000" w:themeColor="text1"/>
          <w:szCs w:val="26"/>
          <w:lang w:val="vi-VN"/>
        </w:rPr>
        <w:t>Bùi Thị Yến Linh (2014), Phan Thị Kiều Tiên (2019) và Trương Văn Dương &amp; Cộng sự (2023),</w:t>
      </w:r>
      <w:bookmarkEnd w:id="2"/>
      <w:r w:rsidR="00983A9B" w:rsidRPr="00050474">
        <w:rPr>
          <w:rFonts w:ascii="Times New Roman" w:hAnsi="Times New Roman" w:cs="Times New Roman"/>
          <w:noProof/>
          <w:color w:val="000000" w:themeColor="text1"/>
          <w:szCs w:val="26"/>
          <w:lang w:val="vi-VN"/>
        </w:rPr>
        <w:t xml:space="preserve"> </w:t>
      </w:r>
      <w:r w:rsidRPr="00050474">
        <w:rPr>
          <w:rFonts w:ascii="Times New Roman" w:hAnsi="Times New Roman" w:cs="Times New Roman"/>
          <w:color w:val="000000" w:themeColor="text1"/>
          <w:szCs w:val="26"/>
          <w:lang w:val="vi-VN"/>
        </w:rPr>
        <w:t xml:space="preserve">đã chỉ ra những tồn tại và đề xuất giải pháp, nhưng phần lớn các công trình này còn hạn chế: 1) Chưa có nghiên cứu toàn diện, có hệ thống về lý luận cơ bản của tổ chức công tác kế toán trong bối cảnh tự chủ và sáp nhập các đơn vị hành chính; 2) Thiếu nghiên cứu chuyên sâu về kế toán dưới góc độ hệ thống thông tin, đặc biệt là kế toán quản trị trong các bệnh viện công tại ĐBSCL; 3) Các giải pháp đề xuất chưa cụ thể cho bối cảnh hiện đại, đặc biệt là việc ứng dụng công nghệ thông tin. Khoảng trống lớn nhất là thiếu các nghiên cứu chuyên sâu và tổng thể về tổ chức công tác kế toán tại bệnh viện công lập trong giai đoạn áp dụng chế độ kế toán theo </w:t>
      </w:r>
      <w:r w:rsidR="00983A9B" w:rsidRPr="00050474">
        <w:rPr>
          <w:rFonts w:ascii="Times New Roman" w:hAnsi="Times New Roman" w:cs="Times New Roman"/>
          <w:noProof/>
          <w:color w:val="000000" w:themeColor="text1"/>
          <w:szCs w:val="26"/>
          <w:lang w:val="vi-VN"/>
        </w:rPr>
        <w:t>theo thông tư số 24/2024/TT-BTC</w:t>
      </w:r>
      <w:r w:rsidR="00983A9B" w:rsidRPr="00050474">
        <w:rPr>
          <w:rFonts w:ascii="Times New Roman" w:hAnsi="Times New Roman" w:cs="Times New Roman"/>
          <w:color w:val="000000" w:themeColor="text1"/>
          <w:szCs w:val="26"/>
          <w:lang w:val="vi-VN"/>
        </w:rPr>
        <w:t xml:space="preserve"> về chế độ kế toán hành chính, sự nghiệp</w:t>
      </w:r>
      <w:r w:rsidRPr="00050474">
        <w:rPr>
          <w:rFonts w:ascii="Times New Roman" w:hAnsi="Times New Roman" w:cs="Times New Roman"/>
          <w:color w:val="000000" w:themeColor="text1"/>
          <w:szCs w:val="26"/>
          <w:lang w:val="vi-VN"/>
        </w:rPr>
        <w:t>, với việc phân tích các yếu tố đặc thù về kinh tế - xã hội và cơ sở hạ tầng khu vực ĐBSCL.</w:t>
      </w:r>
    </w:p>
    <w:p w14:paraId="2F81A9E8" w14:textId="432D3D5D" w:rsidR="00342633" w:rsidRPr="00050474" w:rsidRDefault="0051710A">
      <w:pPr>
        <w:spacing w:line="360" w:lineRule="auto"/>
        <w:ind w:firstLine="567"/>
        <w:jc w:val="both"/>
        <w:rPr>
          <w:rFonts w:ascii="Times New Roman" w:hAnsi="Times New Roman" w:cs="Times New Roman"/>
          <w:b/>
          <w:color w:val="000000" w:themeColor="text1"/>
          <w:szCs w:val="26"/>
          <w:lang w:val="vi-VN"/>
        </w:rPr>
      </w:pPr>
      <w:r w:rsidRPr="00050474">
        <w:rPr>
          <w:rFonts w:ascii="Times New Roman" w:hAnsi="Times New Roman" w:cs="Times New Roman"/>
          <w:color w:val="000000" w:themeColor="text1"/>
          <w:szCs w:val="26"/>
          <w:lang w:val="vi-VN"/>
        </w:rPr>
        <w:t>Do đó, việc nghiên cứu về “</w:t>
      </w:r>
      <w:r w:rsidRPr="00050474">
        <w:rPr>
          <w:rFonts w:ascii="Times New Roman" w:hAnsi="Times New Roman" w:cs="Times New Roman"/>
          <w:i/>
          <w:iCs/>
          <w:color w:val="000000" w:themeColor="text1"/>
          <w:szCs w:val="26"/>
          <w:lang w:val="vi-VN"/>
        </w:rPr>
        <w:t>Tổ chức công tác kế toán tại các bệnh viện công lập khu vực Đồng Bằng Sông Cửu Long</w:t>
      </w:r>
      <w:r w:rsidRPr="00050474">
        <w:rPr>
          <w:rFonts w:ascii="Times New Roman" w:hAnsi="Times New Roman" w:cs="Times New Roman"/>
          <w:color w:val="000000" w:themeColor="text1"/>
          <w:szCs w:val="26"/>
          <w:lang w:val="vi-VN"/>
        </w:rPr>
        <w:t xml:space="preserve">” là vô cùng cần thiết. Luận án này sẽ đi sâu phân tích thực trạng, chỉ ra những hạn chế và đề xuất các giải pháp cụ thể, có tính khả thi, góp phần hoàn thiện tổ chức công tác kế toán tại các bệnh viện công lập khu vực ĐBSCL, qua đó giúp các bệnh viện </w:t>
      </w:r>
      <w:r w:rsidR="00983A9B" w:rsidRPr="00050474">
        <w:rPr>
          <w:rFonts w:ascii="Times New Roman" w:hAnsi="Times New Roman" w:cs="Times New Roman"/>
          <w:color w:val="000000" w:themeColor="text1"/>
          <w:szCs w:val="26"/>
          <w:lang w:val="vi-VN"/>
        </w:rPr>
        <w:t xml:space="preserve">công </w:t>
      </w:r>
      <w:r w:rsidRPr="00050474">
        <w:rPr>
          <w:rFonts w:ascii="Times New Roman" w:hAnsi="Times New Roman" w:cs="Times New Roman"/>
          <w:color w:val="000000" w:themeColor="text1"/>
          <w:szCs w:val="26"/>
          <w:lang w:val="vi-VN"/>
        </w:rPr>
        <w:t>trong khu vực phát triển, nâng cao hiệu quả quản lý tài chính và ứng dụng công nghệ thông tin một cách tối ưu.</w:t>
      </w:r>
    </w:p>
    <w:p w14:paraId="56EE1346" w14:textId="77777777" w:rsidR="00017334" w:rsidRPr="00050474" w:rsidRDefault="00017334" w:rsidP="00017334">
      <w:pPr>
        <w:pStyle w:val="Heading1"/>
        <w:rPr>
          <w:noProof/>
          <w:color w:val="000000" w:themeColor="text1"/>
          <w:szCs w:val="26"/>
          <w:lang w:val="vi-VN"/>
        </w:rPr>
      </w:pPr>
      <w:bookmarkStart w:id="3" w:name="_Toc231725611"/>
      <w:bookmarkStart w:id="4" w:name="_Toc210724102"/>
      <w:bookmarkStart w:id="5" w:name="_Toc229148199"/>
      <w:bookmarkStart w:id="6" w:name="_Toc216648172"/>
      <w:bookmarkStart w:id="7" w:name="_Toc483084217"/>
      <w:r w:rsidRPr="00050474">
        <w:rPr>
          <w:noProof/>
          <w:color w:val="000000" w:themeColor="text1"/>
          <w:szCs w:val="26"/>
          <w:lang w:val="vi-VN"/>
        </w:rPr>
        <w:t>2. Mục tiêu nghiên cứu</w:t>
      </w:r>
      <w:bookmarkEnd w:id="3"/>
      <w:r w:rsidRPr="00050474">
        <w:rPr>
          <w:noProof/>
          <w:color w:val="000000" w:themeColor="text1"/>
          <w:szCs w:val="26"/>
          <w:lang w:val="vi-VN"/>
        </w:rPr>
        <w:t xml:space="preserve"> và câu hỏi nghiên cứu</w:t>
      </w:r>
    </w:p>
    <w:p w14:paraId="066636DB" w14:textId="77777777" w:rsidR="00017334" w:rsidRPr="00050474" w:rsidRDefault="00017334" w:rsidP="00017334">
      <w:pPr>
        <w:pStyle w:val="Heading1"/>
        <w:rPr>
          <w:noProof/>
          <w:color w:val="000000" w:themeColor="text1"/>
          <w:lang w:val="vi-VN"/>
        </w:rPr>
      </w:pPr>
      <w:bookmarkStart w:id="8" w:name="_Toc231725612"/>
      <w:r w:rsidRPr="00050474">
        <w:rPr>
          <w:noProof/>
          <w:color w:val="000000" w:themeColor="text1"/>
          <w:lang w:val="vi-VN"/>
        </w:rPr>
        <w:t xml:space="preserve">2.1. Mục tiêu </w:t>
      </w:r>
      <w:r w:rsidRPr="00050474">
        <w:rPr>
          <w:color w:val="000000" w:themeColor="text1"/>
          <w:lang w:val="vi-VN"/>
        </w:rPr>
        <w:t>nghiên</w:t>
      </w:r>
      <w:r w:rsidRPr="00050474">
        <w:rPr>
          <w:noProof/>
          <w:color w:val="000000" w:themeColor="text1"/>
          <w:lang w:val="vi-VN"/>
        </w:rPr>
        <w:t xml:space="preserve"> cứu </w:t>
      </w:r>
    </w:p>
    <w:p w14:paraId="1A531B8B" w14:textId="77777777" w:rsidR="00017334" w:rsidRPr="00050474" w:rsidRDefault="00017334" w:rsidP="00017334">
      <w:pPr>
        <w:pStyle w:val="Heading2"/>
        <w:rPr>
          <w:noProof/>
          <w:color w:val="000000" w:themeColor="text1"/>
          <w:lang w:val="vi-VN"/>
        </w:rPr>
      </w:pPr>
      <w:r w:rsidRPr="00050474">
        <w:rPr>
          <w:noProof/>
          <w:color w:val="000000" w:themeColor="text1"/>
          <w:lang w:val="vi-VN"/>
        </w:rPr>
        <w:t xml:space="preserve">2.1.1. Mục tiêu chung </w:t>
      </w:r>
    </w:p>
    <w:p w14:paraId="01546EE1" w14:textId="77777777" w:rsidR="00017334" w:rsidRPr="00050474" w:rsidRDefault="00017334" w:rsidP="00017334">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Luận án hướng đến xây dựng cơ sở lý luận và thực tiễn nhằm đề xuất các giải pháp hoàn thiện tổ chức công tác kế toán tại các bệnh viện công lập khu vực ĐBSCL, đảm </w:t>
      </w:r>
      <w:r w:rsidRPr="00050474">
        <w:rPr>
          <w:rFonts w:ascii="Times New Roman" w:hAnsi="Times New Roman" w:cs="Times New Roman"/>
          <w:color w:val="000000" w:themeColor="text1"/>
          <w:szCs w:val="26"/>
          <w:lang w:val="vi-VN"/>
        </w:rPr>
        <w:lastRenderedPageBreak/>
        <w:t>bảo sự thích ứng của hệ thống kế toán, đáp ứng yêu cầu đổi mới quản lý tài chính công và tự chủ tài chính trong lĩnh vực y tế.</w:t>
      </w:r>
    </w:p>
    <w:p w14:paraId="1F2E56E0" w14:textId="77777777" w:rsidR="00017334" w:rsidRPr="00050474" w:rsidRDefault="00017334" w:rsidP="00017334">
      <w:pPr>
        <w:pStyle w:val="Heading2"/>
        <w:rPr>
          <w:noProof/>
          <w:color w:val="000000" w:themeColor="text1"/>
          <w:lang w:val="vi-VN"/>
        </w:rPr>
      </w:pPr>
      <w:r w:rsidRPr="00050474">
        <w:rPr>
          <w:noProof/>
          <w:color w:val="000000" w:themeColor="text1"/>
          <w:lang w:val="vi-VN"/>
        </w:rPr>
        <w:t>2.1.2. Mục tiêu cụ thể</w:t>
      </w:r>
    </w:p>
    <w:p w14:paraId="4FC79E80" w14:textId="77777777" w:rsidR="00017334" w:rsidRPr="00050474" w:rsidRDefault="00017334" w:rsidP="00017334">
      <w:pPr>
        <w:spacing w:after="120" w:line="360" w:lineRule="auto"/>
        <w:ind w:firstLine="567"/>
        <w:jc w:val="both"/>
        <w:rPr>
          <w:rFonts w:ascii="Times New Roman" w:hAnsi="Times New Roman" w:cs="Times New Roman"/>
          <w:noProof/>
          <w:color w:val="000000" w:themeColor="text1"/>
          <w:szCs w:val="26"/>
          <w:lang w:val="vi-VN"/>
        </w:rPr>
      </w:pPr>
      <w:r w:rsidRPr="00050474">
        <w:rPr>
          <w:rFonts w:ascii="Times New Roman" w:hAnsi="Times New Roman" w:cs="Times New Roman"/>
          <w:noProof/>
          <w:color w:val="000000" w:themeColor="text1"/>
          <w:szCs w:val="26"/>
          <w:lang w:val="vi-VN"/>
        </w:rPr>
        <w:t xml:space="preserve">- Hệ thống hóa những vấn đề lý luận cơ bản và làm rõ nội hàm, đặc điểm và các yêu cầu về tổ chức công tác kế toán tại các đơn vị sự nghiệp y tế trong điều kiện </w:t>
      </w:r>
      <w:r w:rsidRPr="00050474">
        <w:rPr>
          <w:rFonts w:ascii="Times New Roman" w:hAnsi="Times New Roman" w:cs="Times New Roman"/>
          <w:color w:val="000000" w:themeColor="text1"/>
          <w:szCs w:val="26"/>
          <w:lang w:val="vi-VN"/>
        </w:rPr>
        <w:t>tự chủ tài chính và đổi mới chế độ kế toán đơn vị công.</w:t>
      </w:r>
    </w:p>
    <w:p w14:paraId="381872A6" w14:textId="77777777" w:rsidR="00017334" w:rsidRPr="00050474" w:rsidRDefault="00017334" w:rsidP="00017334">
      <w:pPr>
        <w:pStyle w:val="ListParagraph"/>
        <w:numPr>
          <w:ilvl w:val="0"/>
          <w:numId w:val="5"/>
        </w:numPr>
        <w:spacing w:after="120" w:line="360" w:lineRule="auto"/>
        <w:ind w:left="0" w:firstLine="567"/>
        <w:contextualSpacing/>
        <w:jc w:val="both"/>
        <w:rPr>
          <w:noProof/>
          <w:color w:val="000000" w:themeColor="text1"/>
          <w:sz w:val="26"/>
          <w:szCs w:val="26"/>
          <w:lang w:val="vi-VN"/>
        </w:rPr>
      </w:pPr>
      <w:r w:rsidRPr="00050474">
        <w:rPr>
          <w:noProof/>
          <w:color w:val="000000" w:themeColor="text1"/>
          <w:sz w:val="26"/>
          <w:szCs w:val="26"/>
          <w:lang w:val="vi-VN"/>
        </w:rPr>
        <w:t>Phân tích và đánh giá khách quan thực trạng tổ chức công tác kế toán tại các bệnh viện công lập khu vực ĐBSCL, qua đó nhận diện những thuận lợi, khó khăn và tồn tại trong quá trình thực hiện.</w:t>
      </w:r>
    </w:p>
    <w:p w14:paraId="1CF319E2" w14:textId="77777777" w:rsidR="00017334" w:rsidRPr="00050474" w:rsidRDefault="00017334" w:rsidP="00017334">
      <w:pPr>
        <w:pStyle w:val="ListParagraph"/>
        <w:numPr>
          <w:ilvl w:val="0"/>
          <w:numId w:val="5"/>
        </w:numPr>
        <w:spacing w:after="120" w:line="360" w:lineRule="auto"/>
        <w:ind w:left="0" w:firstLine="567"/>
        <w:contextualSpacing/>
        <w:jc w:val="both"/>
        <w:rPr>
          <w:noProof/>
          <w:color w:val="000000" w:themeColor="text1"/>
          <w:sz w:val="26"/>
          <w:szCs w:val="26"/>
          <w:lang w:val="vi-VN"/>
        </w:rPr>
      </w:pPr>
      <w:r w:rsidRPr="00050474">
        <w:rPr>
          <w:noProof/>
          <w:color w:val="000000" w:themeColor="text1"/>
          <w:sz w:val="26"/>
          <w:szCs w:val="26"/>
          <w:lang w:val="vi-VN"/>
        </w:rPr>
        <w:t>Xác định và đo lường mức độ ảnh hưởng của các nhân tố đến tổ chức công tác kế toán tại các bệnh viện công lập khu vực ĐBSCL, từ đó làm cơ sở để ưu tiên các nguồn lực trong quá trình hoàn thiện.</w:t>
      </w:r>
    </w:p>
    <w:p w14:paraId="3534A2D5" w14:textId="77777777" w:rsidR="00017334" w:rsidRPr="00050474" w:rsidRDefault="00017334" w:rsidP="00017334">
      <w:pPr>
        <w:spacing w:after="120" w:line="360" w:lineRule="auto"/>
        <w:ind w:firstLine="567"/>
        <w:jc w:val="both"/>
        <w:rPr>
          <w:rFonts w:ascii="Times New Roman" w:hAnsi="Times New Roman" w:cs="Times New Roman"/>
          <w:noProof/>
          <w:color w:val="000000" w:themeColor="text1"/>
          <w:szCs w:val="26"/>
          <w:lang w:val="vi-VN"/>
        </w:rPr>
      </w:pPr>
      <w:r w:rsidRPr="00050474">
        <w:rPr>
          <w:rFonts w:ascii="Times New Roman" w:hAnsi="Times New Roman" w:cs="Times New Roman"/>
          <w:noProof/>
          <w:color w:val="000000" w:themeColor="text1"/>
          <w:szCs w:val="26"/>
          <w:lang w:val="vi-VN"/>
        </w:rPr>
        <w:t xml:space="preserve">- Xây dựng hệ thống giải pháp hoàn thiện TCCTKT có tính khả thi, gắn liền với đặc thù liên kết vùng và xu hướng </w:t>
      </w:r>
      <w:r w:rsidRPr="00050474">
        <w:rPr>
          <w:rFonts w:ascii="Times New Roman" w:hAnsi="Times New Roman" w:cs="Times New Roman"/>
          <w:color w:val="000000" w:themeColor="text1"/>
          <w:szCs w:val="26"/>
          <w:lang w:val="vi-VN"/>
        </w:rPr>
        <w:t xml:space="preserve">tự chủ tài chính và đổi mới chế độ kế toán đơn vị công </w:t>
      </w:r>
      <w:r w:rsidRPr="00050474">
        <w:rPr>
          <w:rFonts w:ascii="Times New Roman" w:hAnsi="Times New Roman" w:cs="Times New Roman"/>
          <w:noProof/>
          <w:color w:val="000000" w:themeColor="text1"/>
          <w:szCs w:val="26"/>
          <w:lang w:val="vi-VN"/>
        </w:rPr>
        <w:t>tại các bệnh viện công lập khu vực ĐBSCL.</w:t>
      </w:r>
    </w:p>
    <w:p w14:paraId="3F5793E7" w14:textId="77777777" w:rsidR="00017334" w:rsidRPr="00050474" w:rsidRDefault="00017334" w:rsidP="00017334">
      <w:pPr>
        <w:pStyle w:val="Heading1"/>
        <w:rPr>
          <w:noProof/>
          <w:color w:val="000000" w:themeColor="text1"/>
          <w:lang w:val="vi-VN"/>
        </w:rPr>
      </w:pPr>
      <w:r w:rsidRPr="00050474">
        <w:rPr>
          <w:noProof/>
          <w:color w:val="000000" w:themeColor="text1"/>
          <w:lang w:val="vi-VN"/>
        </w:rPr>
        <w:t>2.2. Câu hỏi nghiên cứu</w:t>
      </w:r>
      <w:bookmarkEnd w:id="8"/>
    </w:p>
    <w:p w14:paraId="1DD1EC8C" w14:textId="77777777" w:rsidR="00017334" w:rsidRPr="00050474" w:rsidRDefault="00017334" w:rsidP="00017334">
      <w:pPr>
        <w:spacing w:after="120" w:line="360" w:lineRule="auto"/>
        <w:ind w:firstLine="567"/>
        <w:jc w:val="both"/>
        <w:rPr>
          <w:rFonts w:ascii="Times New Roman" w:hAnsi="Times New Roman" w:cs="Times New Roman"/>
          <w:noProof/>
          <w:color w:val="000000" w:themeColor="text1"/>
          <w:szCs w:val="26"/>
          <w:lang w:val="vi-VN"/>
        </w:rPr>
      </w:pPr>
      <w:r w:rsidRPr="00050474">
        <w:rPr>
          <w:rFonts w:ascii="Times New Roman" w:hAnsi="Times New Roman" w:cs="Times New Roman"/>
          <w:noProof/>
          <w:color w:val="000000" w:themeColor="text1"/>
          <w:szCs w:val="26"/>
          <w:lang w:val="vi-VN"/>
        </w:rPr>
        <w:t>Trong bối cảnh đổi mới chế độ kế toán công theo Thông tư số 24/2024/TT-BTC</w:t>
      </w:r>
      <w:r w:rsidRPr="00050474">
        <w:rPr>
          <w:rFonts w:ascii="Times New Roman" w:hAnsi="Times New Roman" w:cs="Times New Roman"/>
          <w:color w:val="000000" w:themeColor="text1"/>
          <w:szCs w:val="26"/>
          <w:lang w:val="vi-VN"/>
        </w:rPr>
        <w:t xml:space="preserve"> về chế độ kế toán hành chính, sự nghiệp</w:t>
      </w:r>
      <w:r w:rsidRPr="00050474">
        <w:rPr>
          <w:rFonts w:ascii="Times New Roman" w:hAnsi="Times New Roman" w:cs="Times New Roman"/>
          <w:noProof/>
          <w:color w:val="000000" w:themeColor="text1"/>
          <w:szCs w:val="26"/>
          <w:lang w:val="vi-VN"/>
        </w:rPr>
        <w:t xml:space="preserve"> và yêu cầu hiện đại hóa công tác quản lý tài chính tại các đơn vị sự nghiệp công lập trong lĩnh vực y tế, luận án đặt ra các câu hỏi nghiên cứu cốt lõi nhằm làm sáng tỏ các vấn đề lý luận và thực tiễn liên quan đến tổ chức công tác kế toán tại các bệnh viện công lập ở khu vực ĐBSCL. Cụ thể, các câu hỏi nghiên cứu bao gồm: </w:t>
      </w:r>
    </w:p>
    <w:p w14:paraId="3DBEF7CB" w14:textId="60F76652" w:rsidR="00017334" w:rsidRPr="00050474" w:rsidRDefault="00017334" w:rsidP="009462CF">
      <w:pPr>
        <w:spacing w:line="360" w:lineRule="auto"/>
        <w:ind w:firstLine="426"/>
        <w:jc w:val="both"/>
        <w:rPr>
          <w:rFonts w:ascii="Times New Roman" w:hAnsi="Times New Roman" w:cs="Times New Roman"/>
          <w:noProof/>
          <w:color w:val="000000" w:themeColor="text1"/>
          <w:szCs w:val="26"/>
          <w:lang w:val="vi-VN"/>
        </w:rPr>
      </w:pPr>
      <w:r w:rsidRPr="00050474">
        <w:rPr>
          <w:rFonts w:ascii="Times New Roman" w:hAnsi="Times New Roman" w:cs="Times New Roman"/>
          <w:noProof/>
          <w:color w:val="000000" w:themeColor="text1"/>
          <w:szCs w:val="26"/>
          <w:lang w:val="vi-VN"/>
        </w:rPr>
        <w:t>i. Thực trạng tổ chức công tác kế toán tại các bệnh viện công lập ở khu vực ĐBSCL hiện nay như thế nào? Những yếu tố nào có ảnh hưởng đến tổ chức công tác kế toán tại các bệnh viện công lập? Mức độ tác động của từng yếu tố đến tổ chức công tác kế toán ra sao?</w:t>
      </w:r>
    </w:p>
    <w:p w14:paraId="0C26A5F7" w14:textId="41BE8E32" w:rsidR="00017334" w:rsidRPr="00050474" w:rsidRDefault="00017334" w:rsidP="009462CF">
      <w:pPr>
        <w:spacing w:line="360" w:lineRule="auto"/>
        <w:ind w:firstLine="426"/>
        <w:jc w:val="both"/>
        <w:rPr>
          <w:color w:val="000000" w:themeColor="text1"/>
          <w:lang w:val="vi-VN"/>
        </w:rPr>
      </w:pPr>
      <w:r w:rsidRPr="00050474">
        <w:rPr>
          <w:noProof/>
          <w:color w:val="000000" w:themeColor="text1"/>
          <w:szCs w:val="26"/>
          <w:lang w:val="vi-VN"/>
        </w:rPr>
        <w:t xml:space="preserve">ii. Những giải pháp nào có thể góp phần nâng cao tổ chức công tác kế toán tại các bệnh viện công lập ở khu vực ĐBSCL trong bối cảnh </w:t>
      </w:r>
      <w:r w:rsidRPr="00050474">
        <w:rPr>
          <w:rFonts w:ascii="Times New Roman" w:hAnsi="Times New Roman" w:cs="Times New Roman"/>
          <w:b/>
          <w:bCs/>
          <w:noProof/>
          <w:color w:val="000000" w:themeColor="text1"/>
          <w:kern w:val="32"/>
          <w:sz w:val="28"/>
          <w:szCs w:val="26"/>
          <w:lang w:val="vi-VN"/>
        </w:rPr>
        <w:t xml:space="preserve">đổi mới </w:t>
      </w:r>
      <w:r w:rsidRPr="00050474">
        <w:rPr>
          <w:noProof/>
          <w:color w:val="000000" w:themeColor="text1"/>
          <w:szCs w:val="26"/>
          <w:lang w:val="vi-VN"/>
        </w:rPr>
        <w:t>chế độ kế toán đơn vị công</w:t>
      </w:r>
      <w:r w:rsidRPr="00050474">
        <w:rPr>
          <w:rFonts w:ascii="Times New Roman" w:hAnsi="Times New Roman" w:cs="Times New Roman"/>
          <w:b/>
          <w:bCs/>
          <w:noProof/>
          <w:color w:val="000000" w:themeColor="text1"/>
          <w:kern w:val="32"/>
          <w:sz w:val="28"/>
          <w:szCs w:val="26"/>
          <w:lang w:val="vi-VN"/>
        </w:rPr>
        <w:t xml:space="preserve"> và</w:t>
      </w:r>
      <w:r w:rsidRPr="00050474">
        <w:rPr>
          <w:noProof/>
          <w:color w:val="000000" w:themeColor="text1"/>
          <w:szCs w:val="26"/>
          <w:lang w:val="vi-VN"/>
        </w:rPr>
        <w:t xml:space="preserve"> tự chủ tài chính tại các đơn vị sự nghiệp y tế công lập?</w:t>
      </w:r>
      <w:bookmarkEnd w:id="4"/>
      <w:bookmarkEnd w:id="5"/>
    </w:p>
    <w:p w14:paraId="42AFA5A3" w14:textId="77777777" w:rsidR="00342633" w:rsidRPr="00050474" w:rsidRDefault="0051710A">
      <w:pPr>
        <w:pStyle w:val="Heading1"/>
        <w:spacing w:before="0" w:after="0" w:line="360" w:lineRule="auto"/>
        <w:rPr>
          <w:color w:val="000000" w:themeColor="text1"/>
          <w:sz w:val="26"/>
          <w:szCs w:val="26"/>
          <w:lang w:val="vi-VN"/>
        </w:rPr>
      </w:pPr>
      <w:bookmarkStart w:id="9" w:name="_Toc210724107"/>
      <w:bookmarkStart w:id="10" w:name="_Toc229148204"/>
      <w:bookmarkStart w:id="11" w:name="_Hlk121247701"/>
      <w:r w:rsidRPr="00050474">
        <w:rPr>
          <w:color w:val="000000" w:themeColor="text1"/>
          <w:sz w:val="26"/>
          <w:szCs w:val="26"/>
          <w:lang w:val="vi-VN"/>
        </w:rPr>
        <w:lastRenderedPageBreak/>
        <w:t>3. Đối tượng và phạm vi nghiên cứu</w:t>
      </w:r>
      <w:bookmarkEnd w:id="9"/>
      <w:bookmarkEnd w:id="10"/>
    </w:p>
    <w:p w14:paraId="67724278" w14:textId="77777777" w:rsidR="00342633" w:rsidRPr="00050474" w:rsidRDefault="0051710A">
      <w:pPr>
        <w:pStyle w:val="Heading1"/>
        <w:spacing w:before="0" w:after="0" w:line="360" w:lineRule="auto"/>
        <w:rPr>
          <w:color w:val="000000" w:themeColor="text1"/>
          <w:sz w:val="26"/>
          <w:szCs w:val="26"/>
          <w:lang w:val="vi-VN"/>
        </w:rPr>
      </w:pPr>
      <w:bookmarkStart w:id="12" w:name="_Toc210724108"/>
      <w:bookmarkStart w:id="13" w:name="_Toc229148205"/>
      <w:bookmarkEnd w:id="11"/>
      <w:r w:rsidRPr="00050474">
        <w:rPr>
          <w:color w:val="000000" w:themeColor="text1"/>
          <w:sz w:val="26"/>
          <w:szCs w:val="26"/>
          <w:lang w:val="vi-VN"/>
        </w:rPr>
        <w:t>3.1. Đối tượng nghiên cứu</w:t>
      </w:r>
      <w:bookmarkEnd w:id="12"/>
      <w:bookmarkEnd w:id="13"/>
    </w:p>
    <w:p w14:paraId="256CD0C9" w14:textId="1F660772"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t>Đối tượng nghiên cứu của luận án là các vấn đề lý luận và thực tiễn liên quan đến tổ chức công tác kế toán tại các bệnh viện công lập thuộc khu vực ĐBSCL trong bối cảnh đổi mới chế độ kế toán đơn vị công và thực hiện cơ chế tự chủ tài chính.</w:t>
      </w:r>
    </w:p>
    <w:p w14:paraId="5A9264AB" w14:textId="77777777" w:rsidR="00342633" w:rsidRPr="00050474" w:rsidRDefault="0051710A">
      <w:pPr>
        <w:pStyle w:val="Heading1"/>
        <w:spacing w:before="0" w:after="0" w:line="360" w:lineRule="auto"/>
        <w:rPr>
          <w:color w:val="000000" w:themeColor="text1"/>
          <w:sz w:val="26"/>
          <w:szCs w:val="26"/>
          <w:lang w:val="vi-VN"/>
        </w:rPr>
      </w:pPr>
      <w:bookmarkStart w:id="14" w:name="_Toc210724109"/>
      <w:bookmarkStart w:id="15" w:name="_Toc229148206"/>
      <w:r w:rsidRPr="00050474">
        <w:rPr>
          <w:color w:val="000000" w:themeColor="text1"/>
          <w:sz w:val="26"/>
          <w:szCs w:val="26"/>
          <w:lang w:val="vi-VN"/>
        </w:rPr>
        <w:t>3.2. Phạm vi nghiên cứu</w:t>
      </w:r>
      <w:bookmarkEnd w:id="14"/>
      <w:bookmarkEnd w:id="15"/>
    </w:p>
    <w:p w14:paraId="1A41FA79" w14:textId="77777777" w:rsidR="00EA4EDB" w:rsidRPr="00050474" w:rsidRDefault="00EA4EDB" w:rsidP="00EA4EDB">
      <w:pPr>
        <w:pStyle w:val="Heading2"/>
        <w:spacing w:line="360" w:lineRule="auto"/>
        <w:ind w:left="0" w:firstLine="567"/>
        <w:rPr>
          <w:color w:val="000000" w:themeColor="text1"/>
          <w:lang w:val="vi-VN"/>
        </w:rPr>
      </w:pPr>
      <w:bookmarkStart w:id="16" w:name="_Toc210724112"/>
      <w:bookmarkStart w:id="17" w:name="_Toc231725621"/>
      <w:bookmarkStart w:id="18" w:name="_Toc210724110"/>
      <w:bookmarkStart w:id="19" w:name="_Toc231725619"/>
      <w:r w:rsidRPr="00050474">
        <w:rPr>
          <w:noProof/>
          <w:color w:val="000000" w:themeColor="text1"/>
          <w:lang w:val="vi-VN"/>
        </w:rPr>
        <w:t>Về nội dung</w:t>
      </w:r>
      <w:bookmarkEnd w:id="16"/>
      <w:bookmarkEnd w:id="17"/>
      <w:r w:rsidRPr="00050474">
        <w:rPr>
          <w:noProof/>
          <w:color w:val="000000" w:themeColor="text1"/>
          <w:lang w:val="vi-VN"/>
        </w:rPr>
        <w:t xml:space="preserve">: </w:t>
      </w:r>
      <w:r w:rsidRPr="00050474">
        <w:rPr>
          <w:b w:val="0"/>
          <w:color w:val="000000" w:themeColor="text1"/>
          <w:lang w:val="vi-VN"/>
        </w:rPr>
        <w:t xml:space="preserve">Luận </w:t>
      </w:r>
      <w:r w:rsidRPr="00050474">
        <w:rPr>
          <w:b w:val="0"/>
          <w:noProof/>
          <w:color w:val="000000" w:themeColor="text1"/>
          <w:lang w:val="vi-VN"/>
        </w:rPr>
        <w:t>án tập trung nghiên cứu lý luận và thực tế về tổ chức công tác kế toán tại các bệnh viện công lập khu vực Đồng bằng sông Cửu Long trong bối cảnh đổi mới cơ chế tài chính công trong lĩnh vực y tế. Nội dung nghiên cứu bao gồm các vấn đề chủ yếu như: tổ chức bộ máy kế toán; tổ chức xử lý, cung cấp và kiểm soát thông tin kế toán; ứng dụng công nghệ thông tin trong công tác kế toán; đồng thời nghiên cứu các nhân tố ảnh hưởng đến tổ chức công tác kế toán tại các bệnh viện công lập. Trên cơ sở đó, luận án đề xuất các giải pháp hoàn thiện tổ chức công tác kế toán phù hợp</w:t>
      </w:r>
      <w:r w:rsidRPr="00050474">
        <w:rPr>
          <w:b w:val="0"/>
          <w:color w:val="000000" w:themeColor="text1"/>
          <w:lang w:val="vi-VN"/>
        </w:rPr>
        <w:t xml:space="preserve"> với yêu cầu tự chủ tài chính và đổi mới chế độ kế toán đơn vị công.</w:t>
      </w:r>
    </w:p>
    <w:p w14:paraId="7032B584" w14:textId="77777777" w:rsidR="00EA4EDB" w:rsidRPr="00050474" w:rsidRDefault="00EA4EDB" w:rsidP="00EA4EDB">
      <w:pPr>
        <w:pStyle w:val="Heading2"/>
        <w:spacing w:line="360" w:lineRule="auto"/>
        <w:ind w:left="0" w:firstLine="567"/>
        <w:rPr>
          <w:b w:val="0"/>
          <w:noProof/>
          <w:color w:val="000000" w:themeColor="text1"/>
          <w:lang w:val="vi-VN"/>
        </w:rPr>
      </w:pPr>
      <w:bookmarkStart w:id="20" w:name="_Toc210724111"/>
      <w:bookmarkStart w:id="21" w:name="_Toc231725620"/>
      <w:r w:rsidRPr="00050474">
        <w:rPr>
          <w:rStyle w:val="Heading1Char"/>
          <w:b/>
          <w:bCs/>
          <w:noProof/>
          <w:color w:val="000000" w:themeColor="text1"/>
          <w:szCs w:val="26"/>
          <w:lang w:val="vi-VN"/>
        </w:rPr>
        <w:t>Về không gian</w:t>
      </w:r>
      <w:bookmarkEnd w:id="20"/>
      <w:bookmarkEnd w:id="21"/>
      <w:r w:rsidRPr="00050474">
        <w:rPr>
          <w:rStyle w:val="Heading1Char"/>
          <w:noProof/>
          <w:color w:val="000000" w:themeColor="text1"/>
          <w:szCs w:val="26"/>
          <w:lang w:val="vi-VN"/>
        </w:rPr>
        <w:t xml:space="preserve">: </w:t>
      </w:r>
      <w:r w:rsidRPr="00050474">
        <w:rPr>
          <w:b w:val="0"/>
          <w:noProof/>
          <w:color w:val="000000" w:themeColor="text1"/>
          <w:lang w:val="vi-VN"/>
        </w:rPr>
        <w:t>Luận án tập trung nghiên cứu tại các bệnh viện công lập thuộc khu vực ĐBSCL– một địa bàn có đặc điểm đa dạng về quy mô bệnh viện, năng lực tài chính và điều kiện phát triển kinh tế - xã hội. Khu vực này được lựa chọn vì có thể phản ánh rõ nét tính đại diện và thực tiễn trong tổ chức công tác kế toán tại các đơn vị sự nghiệp công lập trong lĩnh vực y tế.</w:t>
      </w:r>
    </w:p>
    <w:p w14:paraId="33AF7D1E" w14:textId="3F87DF66" w:rsidR="00EA4EDB" w:rsidRPr="00050474" w:rsidRDefault="00EA4EDB" w:rsidP="00EA4EDB">
      <w:pPr>
        <w:pStyle w:val="11"/>
        <w:spacing w:before="0" w:after="0"/>
        <w:ind w:firstLine="567"/>
        <w:outlineLvl w:val="0"/>
        <w:rPr>
          <w:b w:val="0"/>
          <w:bCs/>
          <w:noProof/>
          <w:color w:val="000000" w:themeColor="text1"/>
        </w:rPr>
      </w:pPr>
      <w:r w:rsidRPr="00050474">
        <w:rPr>
          <w:noProof/>
          <w:color w:val="000000" w:themeColor="text1"/>
        </w:rPr>
        <w:t>Về thời gian</w:t>
      </w:r>
      <w:bookmarkEnd w:id="18"/>
      <w:bookmarkEnd w:id="19"/>
      <w:r w:rsidRPr="00050474">
        <w:rPr>
          <w:noProof/>
          <w:color w:val="000000" w:themeColor="text1"/>
        </w:rPr>
        <w:t xml:space="preserve">: </w:t>
      </w:r>
      <w:r w:rsidRPr="00050474">
        <w:rPr>
          <w:rFonts w:eastAsia="Times New Roman"/>
          <w:b w:val="0"/>
          <w:noProof/>
          <w:color w:val="000000" w:themeColor="text1"/>
        </w:rPr>
        <w:t>Nghiên cứu được triển khai trong năm 2025</w:t>
      </w:r>
      <w:r w:rsidR="00983A9B" w:rsidRPr="00050474">
        <w:rPr>
          <w:rFonts w:eastAsia="Times New Roman"/>
          <w:b w:val="0"/>
          <w:noProof/>
          <w:color w:val="000000" w:themeColor="text1"/>
        </w:rPr>
        <w:t>-2026</w:t>
      </w:r>
      <w:r w:rsidRPr="00050474">
        <w:rPr>
          <w:rFonts w:eastAsia="Times New Roman"/>
          <w:b w:val="0"/>
          <w:noProof/>
          <w:color w:val="000000" w:themeColor="text1"/>
        </w:rPr>
        <w:t xml:space="preserve">. Dữ liệu sơ cấp được thu thập thông qua thiết kế bảng hỏi khảo sát nhằm đánh giá thực trạng và các nhân tố ảnh hưởng đến tổ chức công tác kế toán tại các bệnh viện công lập khu vực ĐBSCL. Bên cạnh đó, dữ liệu thứ cấp được thu thập trong khoảng thời gian từ năm 2019 đến năm 2025, bao gồm thông tin liên quan đến doanh thu, cơ cấu dịch vụ và tình hình tổ chức kế toán tại các bệnh viện công khu vực ĐBSCL. Việc kết hợp giữa dữ liệu sơ cấp và thứ cấp cho phép đánh giá toàn diện cả hiện trạng và xu hướng vận động của hệ thống kế toán bệnh viện công </w:t>
      </w:r>
      <w:r w:rsidRPr="00050474">
        <w:rPr>
          <w:b w:val="0"/>
          <w:bCs/>
          <w:noProof/>
          <w:color w:val="000000" w:themeColor="text1"/>
        </w:rPr>
        <w:t>trong bối cảnh đổi mới chế độ kế toán đơn vị công và thực hiện cơ chế tự chủ tài chính.</w:t>
      </w:r>
    </w:p>
    <w:p w14:paraId="198CBE9E" w14:textId="77777777" w:rsidR="00EA4EDB" w:rsidRPr="00050474" w:rsidRDefault="00EA4EDB" w:rsidP="00EA4EDB">
      <w:pPr>
        <w:pStyle w:val="Heading1"/>
        <w:spacing w:line="360" w:lineRule="auto"/>
        <w:rPr>
          <w:noProof/>
          <w:color w:val="000000" w:themeColor="text1"/>
          <w:szCs w:val="26"/>
          <w:lang w:val="vi-VN"/>
        </w:rPr>
      </w:pPr>
      <w:bookmarkStart w:id="22" w:name="_Toc210724113"/>
      <w:bookmarkStart w:id="23" w:name="_Toc231725622"/>
      <w:bookmarkStart w:id="24" w:name="_Hlk121247715"/>
      <w:r w:rsidRPr="00050474">
        <w:rPr>
          <w:noProof/>
          <w:color w:val="000000" w:themeColor="text1"/>
          <w:szCs w:val="26"/>
          <w:lang w:val="vi-VN"/>
        </w:rPr>
        <w:t>4. Ý nghĩa khoa học và thực tiễn</w:t>
      </w:r>
      <w:bookmarkEnd w:id="22"/>
      <w:bookmarkEnd w:id="23"/>
    </w:p>
    <w:p w14:paraId="37625320" w14:textId="77777777" w:rsidR="0019533C" w:rsidRPr="00050474" w:rsidRDefault="00983A9B" w:rsidP="00983A9B">
      <w:pPr>
        <w:spacing w:line="360" w:lineRule="auto"/>
        <w:ind w:firstLine="567"/>
        <w:jc w:val="both"/>
        <w:rPr>
          <w:rFonts w:ascii="Times New Roman" w:hAnsi="Times New Roman" w:cs="Times New Roman"/>
          <w:color w:val="000000" w:themeColor="text1"/>
          <w:szCs w:val="26"/>
          <w:lang w:val="vi-VN"/>
        </w:rPr>
      </w:pPr>
      <w:bookmarkStart w:id="25" w:name="_Toc210568748"/>
      <w:bookmarkStart w:id="26" w:name="_Toc210569551"/>
      <w:bookmarkStart w:id="27" w:name="_Toc210724114"/>
      <w:bookmarkStart w:id="28" w:name="_Toc210725386"/>
      <w:bookmarkStart w:id="29" w:name="_Toc210725572"/>
      <w:bookmarkStart w:id="30" w:name="_Toc218532116"/>
      <w:bookmarkStart w:id="31" w:name="_Toc222669326"/>
      <w:bookmarkStart w:id="32" w:name="_Toc229148211"/>
      <w:bookmarkEnd w:id="24"/>
      <w:r w:rsidRPr="00050474">
        <w:rPr>
          <w:rFonts w:ascii="Times New Roman" w:hAnsi="Times New Roman" w:cs="Times New Roman"/>
          <w:b/>
          <w:bCs/>
          <w:color w:val="000000" w:themeColor="text1"/>
          <w:szCs w:val="26"/>
          <w:lang w:val="vi-VN"/>
        </w:rPr>
        <w:t>Về mặt khoa học:</w:t>
      </w:r>
      <w:r w:rsidR="002420DF" w:rsidRPr="00050474">
        <w:rPr>
          <w:rFonts w:ascii="Times New Roman" w:hAnsi="Times New Roman" w:cs="Times New Roman"/>
          <w:b/>
          <w:bCs/>
          <w:color w:val="000000" w:themeColor="text1"/>
          <w:szCs w:val="26"/>
          <w:lang w:val="vi-VN"/>
        </w:rPr>
        <w:t xml:space="preserve"> </w:t>
      </w:r>
      <w:r w:rsidRPr="00050474">
        <w:rPr>
          <w:rFonts w:ascii="Times New Roman" w:hAnsi="Times New Roman" w:cs="Times New Roman"/>
          <w:color w:val="000000" w:themeColor="text1"/>
          <w:szCs w:val="26"/>
          <w:lang w:val="vi-VN"/>
        </w:rPr>
        <w:t xml:space="preserve">Luận án hệ thống hóa và góp phần hoàn thiện khung lý thuyết về tổ chức công tác kế toán tại các đơn vị sự nghiệp công lập khu vực ĐBSCL trong bối cảnh mới (sáp nhập tỉnh và thay đổi chế độ kế toán theo thông tư 24/2024/TT-BTC). </w:t>
      </w:r>
      <w:r w:rsidRPr="00050474">
        <w:rPr>
          <w:rFonts w:ascii="Times New Roman" w:hAnsi="Times New Roman" w:cs="Times New Roman"/>
          <w:color w:val="000000" w:themeColor="text1"/>
          <w:szCs w:val="26"/>
          <w:lang w:val="vi-VN"/>
        </w:rPr>
        <w:lastRenderedPageBreak/>
        <w:t>Thông qua việc xây dựng khung phân tích đa chiều, nghiên cứu đã làm sáng tỏ mối quan hệ tương tác giữa cấu trúc tổ chức công tác kế toán, năng lực quản trị rủi ro và hiệu quả vận hành của các bệnh viện công lập khu vực ĐBSCL. Điểm mới của luận án thể hiện ở việc thiết lập mô hình nghiên cứu có tính hệ thống, đặt tổ chức công tác kế toán trong mối tương quan với lộ trình tự chủ tài chính và yêu cầu đổi mới quản trị khu vực công. Ngoài ra, nghiên cứu còn tạo lập nền tảng lý luận hỗ trợ việc xem xét tác động của các biến động mang tính hệ thống đến sự ổn định của công tác tài chính - kế toán, giúp các đơn vị có cơ sở khoa học để chủ động thích ứng trước những thay đổi về cấu trúc tổ chức và thể chế quản lý.</w:t>
      </w:r>
    </w:p>
    <w:p w14:paraId="4D6821F5" w14:textId="5EBF14B6" w:rsidR="00983A9B" w:rsidRPr="00050474" w:rsidRDefault="00983A9B" w:rsidP="00983A9B">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eastAsiaTheme="minorHAnsi" w:hAnsi="Times New Roman" w:cs="Times New Roman"/>
          <w:bCs/>
          <w:color w:val="000000" w:themeColor="text1"/>
          <w:szCs w:val="26"/>
          <w:lang w:val="vi-VN"/>
        </w:rPr>
        <w:t>Về mặt thực tiễn:</w:t>
      </w:r>
      <w:r w:rsidR="002420DF" w:rsidRPr="00050474">
        <w:rPr>
          <w:rFonts w:ascii="Times New Roman" w:eastAsiaTheme="minorHAnsi" w:hAnsi="Times New Roman" w:cs="Times New Roman"/>
          <w:bCs/>
          <w:color w:val="000000" w:themeColor="text1"/>
          <w:szCs w:val="26"/>
          <w:lang w:val="vi-VN"/>
        </w:rPr>
        <w:t xml:space="preserve"> </w:t>
      </w:r>
      <w:r w:rsidRPr="00050474">
        <w:rPr>
          <w:rFonts w:ascii="Times New Roman" w:eastAsiaTheme="minorHAnsi" w:hAnsi="Times New Roman" w:cs="Times New Roman"/>
          <w:bCs/>
          <w:color w:val="000000" w:themeColor="text1"/>
          <w:szCs w:val="26"/>
          <w:lang w:val="vi-VN"/>
        </w:rPr>
        <w:t>Luận án phản ánh khách quan và có hệ thống thực trạng tổ chức công tác kế toán tại các bệnh viện công lập khu vực ĐBSCL. Kết quả nghiên cứu đã nhận diện và phân tích những rào cản, vướng mắc điển hình trong quá trình thực thi các văn bản pháp lý mới như Thông tư số 24/2024/TT-BTC về chế độ kế toán hành chính sự nghiệp, Luật Kế toán và các nghị định về tự chủ tài chính tại đơn vị sự nghiệp y tế. Trên cơ sở kết hợp linh hoạt các phương pháp định tính và định lượng (phân tích EFA, kiểm định Cronbach’s Alpha và hồi quy bội), luận án đề xuất hệ thống các giải pháp có tính ứng dụng cao nhằm hoàn thiện tổ chức công tác kế toán. Các hàm ý chính sách này giúp các bệnh viện công lập không chỉ tuân thủ tốt quy định pháp luật mà còn nâng cao năng lực quản trị tài chính, tăng cường tính minh bạch và trách nhiệm giải trình, phù hợp với đặc thù thực tiễn của hệ thống y tế công lập tại Việt Nam hiện nay.</w:t>
      </w:r>
    </w:p>
    <w:bookmarkEnd w:id="25"/>
    <w:bookmarkEnd w:id="26"/>
    <w:bookmarkEnd w:id="27"/>
    <w:bookmarkEnd w:id="28"/>
    <w:bookmarkEnd w:id="29"/>
    <w:bookmarkEnd w:id="30"/>
    <w:bookmarkEnd w:id="31"/>
    <w:bookmarkEnd w:id="32"/>
    <w:p w14:paraId="7D30C3AF" w14:textId="02DD5D36" w:rsidR="00342633" w:rsidRPr="00050474" w:rsidRDefault="00EA4EDB" w:rsidP="009462CF">
      <w:pPr>
        <w:pStyle w:val="11"/>
        <w:spacing w:after="0"/>
        <w:outlineLvl w:val="0"/>
        <w:rPr>
          <w:color w:val="000000" w:themeColor="text1"/>
        </w:rPr>
      </w:pPr>
      <w:r w:rsidRPr="00050474">
        <w:rPr>
          <w:color w:val="000000" w:themeColor="text1"/>
        </w:rPr>
        <w:t>5</w:t>
      </w:r>
      <w:r w:rsidR="0051710A" w:rsidRPr="00050474">
        <w:rPr>
          <w:color w:val="000000" w:themeColor="text1"/>
        </w:rPr>
        <w:t>. Phương pháp nghiên cứu</w:t>
      </w:r>
      <w:bookmarkEnd w:id="6"/>
      <w:bookmarkEnd w:id="7"/>
    </w:p>
    <w:p w14:paraId="52D00E01"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Kết hợp phương pháp nghiên cứu định tính và phương pháp nghiên cứu định lượng.</w:t>
      </w:r>
    </w:p>
    <w:p w14:paraId="12B618E7" w14:textId="1A7BD446" w:rsidR="00342633" w:rsidRPr="00050474" w:rsidRDefault="00EA4EDB" w:rsidP="009462CF">
      <w:pPr>
        <w:pStyle w:val="Heading1"/>
        <w:spacing w:line="360" w:lineRule="auto"/>
        <w:rPr>
          <w:bCs w:val="0"/>
          <w:color w:val="000000" w:themeColor="text1"/>
          <w:sz w:val="26"/>
          <w:szCs w:val="26"/>
          <w:lang w:val="vi-VN"/>
        </w:rPr>
      </w:pPr>
      <w:bookmarkStart w:id="33" w:name="_Toc229148221"/>
      <w:r w:rsidRPr="00050474">
        <w:rPr>
          <w:color w:val="000000" w:themeColor="text1"/>
          <w:sz w:val="26"/>
          <w:szCs w:val="26"/>
          <w:lang w:val="vi-VN"/>
        </w:rPr>
        <w:t>5</w:t>
      </w:r>
      <w:r w:rsidR="0051710A" w:rsidRPr="00050474">
        <w:rPr>
          <w:color w:val="000000" w:themeColor="text1"/>
          <w:sz w:val="26"/>
          <w:szCs w:val="26"/>
          <w:lang w:val="vi-VN"/>
        </w:rPr>
        <w:t>.1. Thiết kế nghiên cứu và thu thập dữ liệu</w:t>
      </w:r>
      <w:bookmarkEnd w:id="33"/>
    </w:p>
    <w:p w14:paraId="6EE615E7" w14:textId="45D567D6" w:rsidR="00342633" w:rsidRPr="00050474" w:rsidRDefault="00EA4EDB" w:rsidP="009462CF">
      <w:pPr>
        <w:pStyle w:val="Heading1"/>
        <w:spacing w:line="360" w:lineRule="auto"/>
        <w:rPr>
          <w:color w:val="000000" w:themeColor="text1"/>
          <w:sz w:val="26"/>
          <w:szCs w:val="26"/>
          <w:lang w:val="vi-VN"/>
        </w:rPr>
      </w:pPr>
      <w:bookmarkStart w:id="34" w:name="_Toc210724124"/>
      <w:bookmarkStart w:id="35" w:name="_Toc229148222"/>
      <w:r w:rsidRPr="00050474">
        <w:rPr>
          <w:color w:val="000000" w:themeColor="text1"/>
          <w:sz w:val="26"/>
          <w:szCs w:val="26"/>
          <w:lang w:val="vi-VN"/>
        </w:rPr>
        <w:t>5</w:t>
      </w:r>
      <w:r w:rsidR="0051710A" w:rsidRPr="00050474">
        <w:rPr>
          <w:color w:val="000000" w:themeColor="text1"/>
          <w:sz w:val="26"/>
          <w:szCs w:val="26"/>
          <w:lang w:val="vi-VN"/>
        </w:rPr>
        <w:t>.1.1. Thu thập dữ liệu sơ cấp</w:t>
      </w:r>
      <w:bookmarkEnd w:id="34"/>
      <w:bookmarkEnd w:id="35"/>
    </w:p>
    <w:p w14:paraId="0BE343C5"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Dữ liệu sơ cấp trong nghiên cứu này được thu thập trực tiếp bởi tác giả nhằm phục vụ cho việc đánh giá thực trạng tổ chức công tác kế toán tại các bệnh viện công lập thuộc khu vực ĐBSCL. Nghiên cứu được thiết kế theo hướng khảo sát cắt ngang, sử dụng bảng câu hỏi cấu trúc trực tuyến trên nền tảng Google Form, gửi qua thư điện tử (Gmail) đến các đối tượng nghiên cứu gồm kế toán trưởng, kế toán viên và cán bộ phụ trách tài chính tại các bệnh viện công. </w:t>
      </w:r>
    </w:p>
    <w:p w14:paraId="28AB91FE" w14:textId="5FEC83EE" w:rsidR="00342633" w:rsidRPr="00050474" w:rsidRDefault="00EA4EDB">
      <w:pPr>
        <w:pStyle w:val="Heading2"/>
        <w:rPr>
          <w:color w:val="000000" w:themeColor="text1"/>
          <w:szCs w:val="26"/>
          <w:lang w:val="vi-VN"/>
        </w:rPr>
      </w:pPr>
      <w:bookmarkStart w:id="36" w:name="_Toc210724125"/>
      <w:bookmarkStart w:id="37" w:name="_Toc229148223"/>
      <w:r w:rsidRPr="00050474">
        <w:rPr>
          <w:color w:val="000000" w:themeColor="text1"/>
          <w:szCs w:val="26"/>
          <w:lang w:val="vi-VN"/>
        </w:rPr>
        <w:lastRenderedPageBreak/>
        <w:t>5</w:t>
      </w:r>
      <w:r w:rsidR="0051710A" w:rsidRPr="00050474">
        <w:rPr>
          <w:color w:val="000000" w:themeColor="text1"/>
          <w:szCs w:val="26"/>
          <w:lang w:val="vi-VN"/>
        </w:rPr>
        <w:t>.1.2. Thu thập dữ liệu thứ cấp</w:t>
      </w:r>
      <w:bookmarkEnd w:id="36"/>
      <w:bookmarkEnd w:id="37"/>
    </w:p>
    <w:p w14:paraId="590C844E"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Dữ liệu thứ cấp bao gồm các tài liệu, báo cáo và thông tin đã được công bố hoặc lưu trữ trong hệ thống quản lý của bệnh viện hoặc các cơ quan quản lý nhà nước, được sử dụng để hỗ trợ phân tích bối cảnh và xu hướng vận hành của hệ thống kế toán công. Các bước thu thập và xử lý dữ liệu thứ cấp được thực hiện theo quy trình sau:</w:t>
      </w:r>
    </w:p>
    <w:p w14:paraId="503C85AB"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Bước 1: Xác định phạm vi dữ liệu liên quan đến các hoạt động tổ chức công tác kế toán tại bệnh viện công, bao gồm doanh thu, cơ cấu dịch vụ, tổ chức bộ máy kế toán, báo cáo tài chính và các chỉ tiêu hoạt động từ năm 2019 đến năm 2025.</w:t>
      </w:r>
    </w:p>
    <w:p w14:paraId="3CE0C916"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Bước 2: Phân loại nguồn dữ liệu, tập trung vào hai nhóm chính: (i) dữ liệu nội bộ từ các báo cáo định kỳ, kế hoạch tài chính, quyết toán chi ngân sách của bệnh viện; (ii) dữ liệu bên ngoài từ văn bản pháp lý, báo cáo ngành y tế và các công trình nghiên cứu liên quan.</w:t>
      </w:r>
    </w:p>
    <w:p w14:paraId="168F3446"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Bước 3: Tiến hành thu thập dữ liệu từ các phòng kế toán, phòng tài chính kế hoạch, website của Bộ Y tế và các cơ quan quản lý.</w:t>
      </w:r>
    </w:p>
    <w:p w14:paraId="0ED52EC2"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Bước 4: Kiểm tra độ tin cậy và tính nhất quán của dữ liệu thông qua đối chiếu, rà soát, đánh giá nguồn phát hành và phương pháp ghi nhận.</w:t>
      </w:r>
    </w:p>
    <w:p w14:paraId="236F8D56"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Bước 5: Xử lý, hệ thống hóa và tổng hợp dữ liệu thứ cấp theo các nhóm nội dung phục vụ cho phân tích định tính và định lượng.</w:t>
      </w:r>
    </w:p>
    <w:p w14:paraId="098DF350" w14:textId="5A47044E" w:rsidR="00342633" w:rsidRPr="00050474" w:rsidRDefault="00EA4EDB">
      <w:pPr>
        <w:pStyle w:val="Heading2"/>
        <w:rPr>
          <w:color w:val="000000" w:themeColor="text1"/>
          <w:szCs w:val="26"/>
          <w:lang w:val="vi-VN"/>
        </w:rPr>
      </w:pPr>
      <w:bookmarkStart w:id="38" w:name="_Toc210569561"/>
      <w:bookmarkStart w:id="39" w:name="_Toc210568758"/>
      <w:bookmarkStart w:id="40" w:name="_Toc229148224"/>
      <w:bookmarkStart w:id="41" w:name="_Toc210724126"/>
      <w:bookmarkStart w:id="42" w:name="_Hlk222321240"/>
      <w:r w:rsidRPr="00050474">
        <w:rPr>
          <w:color w:val="000000" w:themeColor="text1"/>
          <w:szCs w:val="26"/>
          <w:lang w:val="vi-VN"/>
        </w:rPr>
        <w:t>5</w:t>
      </w:r>
      <w:r w:rsidR="0051710A" w:rsidRPr="00050474">
        <w:rPr>
          <w:color w:val="000000" w:themeColor="text1"/>
          <w:szCs w:val="26"/>
          <w:lang w:val="vi-VN"/>
        </w:rPr>
        <w:t>.1.3. Phương pháp chọn mẫu</w:t>
      </w:r>
      <w:bookmarkEnd w:id="38"/>
      <w:bookmarkEnd w:id="39"/>
      <w:bookmarkEnd w:id="40"/>
      <w:bookmarkEnd w:id="41"/>
    </w:p>
    <w:p w14:paraId="25BBFA16" w14:textId="77777777" w:rsidR="00342633" w:rsidRPr="00050474" w:rsidRDefault="0051710A">
      <w:pPr>
        <w:pStyle w:val="NormalWeb"/>
        <w:spacing w:before="0" w:beforeAutospacing="0" w:after="160" w:afterAutospacing="0" w:line="360" w:lineRule="auto"/>
        <w:ind w:firstLine="567"/>
        <w:jc w:val="both"/>
        <w:rPr>
          <w:color w:val="000000" w:themeColor="text1"/>
          <w:sz w:val="26"/>
          <w:szCs w:val="26"/>
          <w:lang w:val="vi-VN"/>
        </w:rPr>
      </w:pPr>
      <w:r w:rsidRPr="00050474">
        <w:rPr>
          <w:color w:val="000000" w:themeColor="text1"/>
          <w:sz w:val="26"/>
          <w:szCs w:val="26"/>
          <w:lang w:val="vi-VN"/>
        </w:rPr>
        <w:t>Để bảo đảm mẫu nghiên cứu phản ánh sát thực tiễn tổ chức công tác kế toán tại các bệnh viện công lập khu vực ĐBSCL, luận án áp dụng phương pháp chọn mẫu phi xác suất theo hình thức chọn mẫu mục đích. Việc lựa chọn phương pháp chọn mẫu mục đích xuất phát từ đặc thù nghiên cứu, trong đó việc tiếp cận ngẫu nhiên các bệnh viện công lập khu vực ĐBSCL mang tính khả thi. Đồng thời, phương pháp này bảo đảm lựa chọn đúng đối tượng có khả năng cung cấp thông tin chuyên sâu và chính xác về công tác kế toán, qua đó nâng cao chất lượng và độ phù hợp của dữ liệu với mục tiêu nghiên cứu.</w:t>
      </w:r>
    </w:p>
    <w:p w14:paraId="3775F669" w14:textId="675A460A" w:rsidR="00342633" w:rsidRPr="00050474" w:rsidRDefault="00EA4EDB">
      <w:pPr>
        <w:pStyle w:val="NormalWeb"/>
        <w:spacing w:before="0" w:beforeAutospacing="0" w:after="160" w:afterAutospacing="0" w:line="360" w:lineRule="auto"/>
        <w:ind w:firstLine="567"/>
        <w:jc w:val="both"/>
        <w:outlineLvl w:val="2"/>
        <w:rPr>
          <w:color w:val="000000" w:themeColor="text1"/>
          <w:sz w:val="26"/>
          <w:szCs w:val="26"/>
          <w:lang w:val="vi-VN"/>
        </w:rPr>
      </w:pPr>
      <w:bookmarkStart w:id="43" w:name="_Toc229148225"/>
      <w:r w:rsidRPr="00050474">
        <w:rPr>
          <w:i/>
          <w:iCs/>
          <w:color w:val="000000" w:themeColor="text1"/>
          <w:sz w:val="26"/>
          <w:szCs w:val="26"/>
          <w:lang w:val="vi-VN"/>
        </w:rPr>
        <w:t>5</w:t>
      </w:r>
      <w:r w:rsidR="0051710A" w:rsidRPr="00050474">
        <w:rPr>
          <w:i/>
          <w:iCs/>
          <w:color w:val="000000" w:themeColor="text1"/>
          <w:sz w:val="26"/>
          <w:szCs w:val="26"/>
          <w:lang w:val="vi-VN"/>
        </w:rPr>
        <w:t>.1.3.1 Phạm vi cở mẫu</w:t>
      </w:r>
      <w:bookmarkEnd w:id="43"/>
    </w:p>
    <w:p w14:paraId="437ADA82" w14:textId="5F9DB9DD" w:rsidR="00342633" w:rsidRPr="00050474" w:rsidRDefault="0051710A">
      <w:pPr>
        <w:pStyle w:val="NormalWeb"/>
        <w:spacing w:before="0" w:beforeAutospacing="0" w:after="160" w:afterAutospacing="0" w:line="360" w:lineRule="auto"/>
        <w:ind w:firstLine="567"/>
        <w:jc w:val="both"/>
        <w:rPr>
          <w:color w:val="000000" w:themeColor="text1"/>
          <w:sz w:val="26"/>
          <w:szCs w:val="26"/>
          <w:lang w:val="vi-VN"/>
        </w:rPr>
      </w:pPr>
      <w:r w:rsidRPr="00050474">
        <w:rPr>
          <w:color w:val="000000" w:themeColor="text1"/>
          <w:sz w:val="26"/>
          <w:szCs w:val="26"/>
          <w:lang w:val="vi-VN"/>
        </w:rPr>
        <w:t xml:space="preserve"> Phạm vi khảo sát trải rộng trên 6 tỉnh, thành phố thuộc vùng ĐBSCL</w:t>
      </w:r>
      <w:r w:rsidR="00EA0097" w:rsidRPr="00050474">
        <w:rPr>
          <w:color w:val="000000" w:themeColor="text1"/>
          <w:sz w:val="26"/>
          <w:szCs w:val="26"/>
          <w:lang w:val="vi-VN"/>
        </w:rPr>
        <w:t xml:space="preserve"> </w:t>
      </w:r>
      <w:r w:rsidRPr="00050474">
        <w:rPr>
          <w:color w:val="000000" w:themeColor="text1"/>
          <w:sz w:val="26"/>
          <w:szCs w:val="26"/>
          <w:lang w:val="vi-VN"/>
        </w:rPr>
        <w:t xml:space="preserve">(bao gồm Thành phố Cần Thơ, Vĩnh Long, Cà Mau, Đồng Tháp, An Giang và Tây Ninh) nhằm phản ánh đặc thù khu vực và bảo đảm tính đại diện. Mẫu khảo sát được thiết kế đa dạng </w:t>
      </w:r>
      <w:r w:rsidRPr="00050474">
        <w:rPr>
          <w:color w:val="000000" w:themeColor="text1"/>
          <w:sz w:val="26"/>
          <w:szCs w:val="26"/>
          <w:lang w:val="vi-VN"/>
        </w:rPr>
        <w:lastRenderedPageBreak/>
        <w:t>về quy mô và phân hạng bệnh viện, bao gồm hạng đặc biệt, hạng I, hạng II và hạng III, nhằm phản ánh sự khác biệt trong tổ chức kế toán giữa các cấp hạng.</w:t>
      </w:r>
    </w:p>
    <w:p w14:paraId="5B1D8830" w14:textId="77777777" w:rsidR="00342633" w:rsidRPr="00050474" w:rsidRDefault="0051710A">
      <w:pPr>
        <w:pStyle w:val="NormalWeb"/>
        <w:spacing w:before="0" w:beforeAutospacing="0" w:after="160" w:afterAutospacing="0" w:line="360" w:lineRule="auto"/>
        <w:ind w:firstLine="567"/>
        <w:jc w:val="both"/>
        <w:rPr>
          <w:color w:val="000000" w:themeColor="text1"/>
          <w:sz w:val="26"/>
          <w:szCs w:val="26"/>
          <w:lang w:val="vi-VN"/>
        </w:rPr>
      </w:pPr>
      <w:r w:rsidRPr="00050474">
        <w:rPr>
          <w:color w:val="000000" w:themeColor="text1"/>
          <w:sz w:val="26"/>
          <w:szCs w:val="26"/>
          <w:lang w:val="vi-VN"/>
        </w:rPr>
        <w:t>Quy mô mẫu được xác định dựa trên yêu cầu bảo đảm số lượng quan sát tối thiểu cho các phân tích định lượng, đặc biệt là phân tích nhân tố khám phá (EFA) và phân tích hồi quy. Theo gợi ý của Hair và cộng sự (2010), kích thước mẫu cần tối thiểu gấp 5–10 lần số biến quan sát trong bảng câu hỏi. Nghiên cứu này sử dụng 31 biến quan sát, do đó quy mô mẫu tối thiểu là 155 quan sát. Trên cơ sở đó, luận án phát hành 245 phiếu khảo sát và thu về đủ 245 phiếu hợp lệ, đạt tỷ lệ hợp lệ 100%.</w:t>
      </w:r>
    </w:p>
    <w:p w14:paraId="16FE86E9" w14:textId="16E37594" w:rsidR="00342633" w:rsidRPr="00050474" w:rsidRDefault="00EA4EDB">
      <w:pPr>
        <w:pStyle w:val="NormalWeb"/>
        <w:spacing w:line="360" w:lineRule="auto"/>
        <w:ind w:firstLine="567"/>
        <w:jc w:val="both"/>
        <w:outlineLvl w:val="2"/>
        <w:rPr>
          <w:color w:val="000000" w:themeColor="text1"/>
          <w:sz w:val="26"/>
          <w:szCs w:val="26"/>
          <w:lang w:val="vi-VN"/>
        </w:rPr>
      </w:pPr>
      <w:bookmarkStart w:id="44" w:name="_Toc229148226"/>
      <w:r w:rsidRPr="00050474">
        <w:rPr>
          <w:i/>
          <w:iCs/>
          <w:color w:val="000000" w:themeColor="text1"/>
          <w:sz w:val="26"/>
          <w:szCs w:val="26"/>
          <w:lang w:val="vi-VN"/>
        </w:rPr>
        <w:t>5</w:t>
      </w:r>
      <w:r w:rsidR="0051710A" w:rsidRPr="00050474">
        <w:rPr>
          <w:i/>
          <w:iCs/>
          <w:color w:val="000000" w:themeColor="text1"/>
          <w:sz w:val="26"/>
          <w:szCs w:val="26"/>
          <w:lang w:val="vi-VN"/>
        </w:rPr>
        <w:t>.1.3.2 Đối tượng khảo sát và tính độc lập của quan sát</w:t>
      </w:r>
      <w:bookmarkEnd w:id="44"/>
    </w:p>
    <w:p w14:paraId="3D8A5A95" w14:textId="77777777" w:rsidR="00342633" w:rsidRPr="00050474" w:rsidRDefault="0051710A">
      <w:pPr>
        <w:pStyle w:val="NormalWeb"/>
        <w:spacing w:line="360" w:lineRule="auto"/>
        <w:ind w:firstLine="567"/>
        <w:jc w:val="both"/>
        <w:rPr>
          <w:color w:val="000000" w:themeColor="text1"/>
          <w:sz w:val="26"/>
          <w:szCs w:val="26"/>
          <w:lang w:val="vi-VN"/>
        </w:rPr>
      </w:pPr>
      <w:r w:rsidRPr="00050474">
        <w:rPr>
          <w:color w:val="000000" w:themeColor="text1"/>
          <w:sz w:val="26"/>
          <w:szCs w:val="26"/>
          <w:lang w:val="vi-VN"/>
        </w:rPr>
        <w:t xml:space="preserve">Đối tượng khảo sát bao gồm những cá nhân có kiến thức, kinh nghiệm và trực tiếp tham gia vào công tác kế toán tại bệnh viện, cụ thể là kế toán trưởng, lãnh đạo phòng tài chính – kế toán và kế toán viên phụ trách các phần hành kế toán. </w:t>
      </w:r>
    </w:p>
    <w:p w14:paraId="7FC1D9F8" w14:textId="57D19728" w:rsidR="00342633" w:rsidRPr="00050474" w:rsidRDefault="00EA4EDB">
      <w:pPr>
        <w:pStyle w:val="NormalWeb"/>
        <w:spacing w:before="120" w:beforeAutospacing="0" w:after="120" w:afterAutospacing="0" w:line="360" w:lineRule="auto"/>
        <w:ind w:firstLine="567"/>
        <w:jc w:val="both"/>
        <w:outlineLvl w:val="2"/>
        <w:rPr>
          <w:i/>
          <w:iCs/>
          <w:color w:val="000000" w:themeColor="text1"/>
          <w:sz w:val="26"/>
          <w:szCs w:val="26"/>
          <w:lang w:val="vi-VN"/>
        </w:rPr>
      </w:pPr>
      <w:bookmarkStart w:id="45" w:name="_Toc229148227"/>
      <w:r w:rsidRPr="00050474">
        <w:rPr>
          <w:i/>
          <w:iCs/>
          <w:color w:val="000000" w:themeColor="text1"/>
          <w:sz w:val="26"/>
          <w:szCs w:val="26"/>
          <w:lang w:val="vi-VN"/>
        </w:rPr>
        <w:t>5</w:t>
      </w:r>
      <w:r w:rsidR="0051710A" w:rsidRPr="00050474">
        <w:rPr>
          <w:i/>
          <w:iCs/>
          <w:color w:val="000000" w:themeColor="text1"/>
          <w:sz w:val="26"/>
          <w:szCs w:val="26"/>
          <w:lang w:val="vi-VN"/>
        </w:rPr>
        <w:t>.1.3.3 Phân bổ mẫu khảo sát giữa các bệnh viện</w:t>
      </w:r>
      <w:bookmarkEnd w:id="45"/>
    </w:p>
    <w:p w14:paraId="4AD4091D" w14:textId="77777777" w:rsidR="00342633" w:rsidRPr="00050474" w:rsidRDefault="0051710A">
      <w:pPr>
        <w:pStyle w:val="NormalWeb"/>
        <w:spacing w:before="0" w:beforeAutospacing="0" w:after="0" w:afterAutospacing="0" w:line="360" w:lineRule="auto"/>
        <w:ind w:firstLine="567"/>
        <w:jc w:val="both"/>
        <w:rPr>
          <w:color w:val="000000" w:themeColor="text1"/>
          <w:sz w:val="26"/>
          <w:szCs w:val="26"/>
          <w:lang w:val="vi-VN"/>
        </w:rPr>
      </w:pPr>
      <w:r w:rsidRPr="00050474">
        <w:rPr>
          <w:color w:val="000000" w:themeColor="text1"/>
          <w:sz w:val="26"/>
          <w:szCs w:val="26"/>
          <w:lang w:val="vi-VN"/>
        </w:rPr>
        <w:t>Tại các đơn vị có số lượng mẫu lớn (từ 10-18 phiếu): Đây là các bệnh viện mà nghiên cứu sinh nhận được sự hỗ trợ cao từ Ban lãnh đạo, cho phép tiếp cận sâu rộng vào đội ngũ kế toán viên ở nhiều phần hành khác nhau. Nhóm này giúp nghiên cứu sinh kiểm định tính đồng nhất và sự hiểu biết của các cấp bậc nhân viên khác nhau trong cùng một quy trình.</w:t>
      </w:r>
    </w:p>
    <w:p w14:paraId="436E677D" w14:textId="77777777" w:rsidR="00342633" w:rsidRPr="00050474" w:rsidRDefault="0051710A">
      <w:pPr>
        <w:pStyle w:val="NormalWeb"/>
        <w:spacing w:before="0" w:beforeAutospacing="0" w:after="0" w:afterAutospacing="0" w:line="360" w:lineRule="auto"/>
        <w:ind w:firstLine="567"/>
        <w:jc w:val="both"/>
        <w:rPr>
          <w:color w:val="000000" w:themeColor="text1"/>
          <w:sz w:val="26"/>
          <w:szCs w:val="26"/>
          <w:lang w:val="vi-VN"/>
        </w:rPr>
      </w:pPr>
      <w:r w:rsidRPr="00050474">
        <w:rPr>
          <w:color w:val="000000" w:themeColor="text1"/>
          <w:sz w:val="26"/>
          <w:szCs w:val="26"/>
          <w:lang w:val="vi-VN"/>
        </w:rPr>
        <w:t>Tại các đơn vị có số lượng mẫu nhỏ (từ 2-9 phiếu): Các đối tượng chấp nhận tham gia trả lời chủ yếu là những nhân sự chủ chốt như Kế toán trưởng hoặc Kế toán tổng hợp có thâm niên kinh nghiệm. Dù số lượng ít, nhưng thông tin họ cung cấp có độ tin cậy và tính tổng quát cao, đại diện chuẩn xác về thực trạng tổ chức công tác kế toán.</w:t>
      </w:r>
    </w:p>
    <w:p w14:paraId="7D850AF6" w14:textId="173EC77A" w:rsidR="00342633" w:rsidRPr="00050474" w:rsidRDefault="00EA4EDB">
      <w:pPr>
        <w:pStyle w:val="Heading1"/>
        <w:rPr>
          <w:color w:val="000000" w:themeColor="text1"/>
          <w:sz w:val="26"/>
          <w:szCs w:val="26"/>
          <w:lang w:val="vi-VN"/>
        </w:rPr>
      </w:pPr>
      <w:bookmarkStart w:id="46" w:name="_Toc210724127"/>
      <w:bookmarkStart w:id="47" w:name="_Toc229148228"/>
      <w:bookmarkEnd w:id="42"/>
      <w:r w:rsidRPr="00050474">
        <w:rPr>
          <w:color w:val="000000" w:themeColor="text1"/>
          <w:sz w:val="26"/>
          <w:szCs w:val="26"/>
          <w:lang w:val="vi-VN"/>
        </w:rPr>
        <w:t>5</w:t>
      </w:r>
      <w:r w:rsidR="0051710A" w:rsidRPr="00050474">
        <w:rPr>
          <w:color w:val="000000" w:themeColor="text1"/>
          <w:sz w:val="26"/>
          <w:szCs w:val="26"/>
          <w:lang w:val="vi-VN"/>
        </w:rPr>
        <w:t>.2. Nghiên cứu định tính</w:t>
      </w:r>
      <w:bookmarkEnd w:id="46"/>
      <w:bookmarkEnd w:id="47"/>
    </w:p>
    <w:p w14:paraId="7402766D"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bookmarkStart w:id="48" w:name="_Toc476850068"/>
      <w:r w:rsidRPr="00050474">
        <w:rPr>
          <w:rFonts w:ascii="Times New Roman" w:hAnsi="Times New Roman" w:cs="Times New Roman"/>
          <w:color w:val="000000" w:themeColor="text1"/>
          <w:szCs w:val="26"/>
          <w:lang w:val="vi-VN"/>
        </w:rPr>
        <w:t xml:space="preserve">Phương pháp nghiên cứu định tính được áp dụng nhằm khám phá, tổng hợp và làm rõ các vấn đề liên quan đến tổ chức công tác kế toán tại các bệnh viện công lập, thông qua việc thu thập dữ liệu thực tế và phân tích nội dung. </w:t>
      </w:r>
      <w:bookmarkEnd w:id="48"/>
    </w:p>
    <w:p w14:paraId="1D862591" w14:textId="245929F3" w:rsidR="00342633" w:rsidRPr="00050474" w:rsidRDefault="00EA4EDB">
      <w:pPr>
        <w:pStyle w:val="Heading1"/>
        <w:rPr>
          <w:color w:val="000000" w:themeColor="text1"/>
          <w:sz w:val="26"/>
          <w:szCs w:val="26"/>
          <w:lang w:val="vi-VN"/>
        </w:rPr>
      </w:pPr>
      <w:bookmarkStart w:id="49" w:name="_Toc210724128"/>
      <w:bookmarkStart w:id="50" w:name="_Toc229148229"/>
      <w:r w:rsidRPr="00050474">
        <w:rPr>
          <w:color w:val="000000" w:themeColor="text1"/>
          <w:sz w:val="26"/>
          <w:szCs w:val="26"/>
          <w:lang w:val="vi-VN"/>
        </w:rPr>
        <w:t>5</w:t>
      </w:r>
      <w:r w:rsidR="0051710A" w:rsidRPr="00050474">
        <w:rPr>
          <w:color w:val="000000" w:themeColor="text1"/>
          <w:sz w:val="26"/>
          <w:szCs w:val="26"/>
          <w:lang w:val="vi-VN"/>
        </w:rPr>
        <w:t>.3. Nghiên cứu định lượng</w:t>
      </w:r>
      <w:bookmarkEnd w:id="49"/>
      <w:bookmarkEnd w:id="50"/>
    </w:p>
    <w:p w14:paraId="3E5BE9CB"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Sau giai đoạn định tính, nghiên cứu định lượng được triển khai nhằm kiểm định các giả thuyết và đánh giá thực trạng tổ chức công tác kế toán tại các bệnh viện công lập khu vực ĐBSCL. Thống kê mô tả được sử dụng để phản ánh đặc điểm mẫu khảo sát và </w:t>
      </w:r>
      <w:r w:rsidRPr="00050474">
        <w:rPr>
          <w:rFonts w:ascii="Times New Roman" w:hAnsi="Times New Roman" w:cs="Times New Roman"/>
          <w:color w:val="000000" w:themeColor="text1"/>
          <w:szCs w:val="26"/>
          <w:lang w:val="vi-VN"/>
        </w:rPr>
        <w:lastRenderedPageBreak/>
        <w:t>tần suất xuất hiện của các tiêu chí nghiên cứu. Các phương pháp phân tích chuyên sâu như kiểm định độ tin cậy, phân tích nhân tố khám phá và phân tích hồi quy đa biến được áp dụng để xác định mức độ ảnh hưởng của các yếu tố.</w:t>
      </w:r>
    </w:p>
    <w:p w14:paraId="6724DA79" w14:textId="3FC57C09" w:rsidR="00342633" w:rsidRPr="00050474" w:rsidRDefault="00EA4EDB">
      <w:pPr>
        <w:pStyle w:val="Heading1"/>
        <w:rPr>
          <w:bCs w:val="0"/>
          <w:color w:val="000000" w:themeColor="text1"/>
          <w:sz w:val="26"/>
          <w:szCs w:val="26"/>
          <w:lang w:val="vi-VN"/>
        </w:rPr>
      </w:pPr>
      <w:bookmarkStart w:id="51" w:name="_Toc476850071"/>
      <w:bookmarkStart w:id="52" w:name="_Toc480647974"/>
      <w:bookmarkStart w:id="53" w:name="_Toc484502215"/>
      <w:bookmarkStart w:id="54" w:name="_Toc482896006"/>
      <w:bookmarkStart w:id="55" w:name="_Toc484599695"/>
      <w:bookmarkStart w:id="56" w:name="_Toc229148230"/>
      <w:bookmarkStart w:id="57" w:name="_Toc210724129"/>
      <w:r w:rsidRPr="00050474">
        <w:rPr>
          <w:color w:val="000000" w:themeColor="text1"/>
          <w:sz w:val="26"/>
          <w:szCs w:val="26"/>
          <w:lang w:val="vi-VN"/>
        </w:rPr>
        <w:t>5</w:t>
      </w:r>
      <w:r w:rsidR="0051710A" w:rsidRPr="00050474">
        <w:rPr>
          <w:color w:val="000000" w:themeColor="text1"/>
          <w:sz w:val="26"/>
          <w:szCs w:val="26"/>
          <w:lang w:val="vi-VN"/>
        </w:rPr>
        <w:t xml:space="preserve">.4. Phương pháp xử lý và phân tích dữ </w:t>
      </w:r>
      <w:bookmarkEnd w:id="51"/>
      <w:bookmarkEnd w:id="52"/>
      <w:bookmarkEnd w:id="53"/>
      <w:bookmarkEnd w:id="54"/>
      <w:bookmarkEnd w:id="55"/>
      <w:r w:rsidR="0051710A" w:rsidRPr="00050474">
        <w:rPr>
          <w:color w:val="000000" w:themeColor="text1"/>
          <w:sz w:val="26"/>
          <w:szCs w:val="26"/>
          <w:lang w:val="vi-VN"/>
        </w:rPr>
        <w:t>liệu</w:t>
      </w:r>
      <w:bookmarkEnd w:id="56"/>
      <w:bookmarkEnd w:id="57"/>
    </w:p>
    <w:p w14:paraId="0BDE49F9"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Để đáp ứng các mục tiêu nghiên cứu đã đề ra, luận án sử dụng kết hợp các phương pháp xử lý dữ liệu định tính và định lượng, cụ thể như sau:</w:t>
      </w:r>
    </w:p>
    <w:p w14:paraId="69C88C27" w14:textId="40F04A6C"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Mục tiêu 1 – hệ thống hóa và làm rõ cơ sở lý luận, nghiên cứu tổng hợp và phân tích tài liệu thứ cấp từ các công trình nghiên cứu trong và ngoài nước, văn bản pháp lý, chuẩn mực và chế độ kế toán áp dụng cho đơn vị sự nghiệp y tế công lập. Phương pháp phân tích – tổng hợp và so sánh được sử dụng nhằm xây dựng khung lý thuyết và cơ sở lý luận cho đề tài.</w:t>
      </w:r>
    </w:p>
    <w:p w14:paraId="4DB5A4EF" w14:textId="5C24563F"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Mục tiêu 2 – mô tả và đánh giá thực trạng tổ chức công tác kế toán, nghiên cứu chủ yếu áp dụng các phương pháp bao gồm quan sát trực tiếp, thiết kế bảng câu hỏi, xây dựng thang đo và thống kê mô tả. Phương pháp quan sát được tiến hành tại một số bệnh viện công tiêu biểu khu vực ĐBSCL, tập trung vào bộ máy kế toán, quy trình xử lý chứng từ và phương thức vận hành hệ thống kế toán. Nội dung quan sát bao gồm mô hình tổ chức kế toán, phương pháp hạch toán, công tác kiểm tra – giám sát và ứng dụng công nghệ thông tin. Dựa trên cơ sở lý thuyết và kết quả tiền nghiên cứu, bảng câu hỏi được thiết kế với các nhóm chỉ tiêu phản ánh đầy đủ các khía cạnh của tổ chức công tác kế toán. Thang đo Likert 5 mức được sử dụng để đo lường mức độ đánh giá của đối tượng khảo sát. Thống kê mô tả được áp dụng để phân tích và đánh giá thực trạng.</w:t>
      </w:r>
    </w:p>
    <w:p w14:paraId="4C854CD3" w14:textId="790D9C81"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Mục tiêu 3 </w:t>
      </w:r>
      <w:r w:rsidRPr="00050474">
        <w:rPr>
          <w:rStyle w:val="Heading1Char"/>
          <w:rFonts w:ascii="Times New Roman" w:eastAsiaTheme="minorHAnsi" w:hAnsi="Times New Roman" w:cs="Times New Roman"/>
          <w:color w:val="000000" w:themeColor="text1"/>
          <w:sz w:val="26"/>
          <w:szCs w:val="26"/>
          <w:lang w:val="vi-VN"/>
        </w:rPr>
        <w:t>–</w:t>
      </w:r>
      <w:r w:rsidRPr="00050474">
        <w:rPr>
          <w:rStyle w:val="Heading1Char"/>
          <w:rFonts w:ascii="Times New Roman" w:hAnsi="Times New Roman" w:cs="Times New Roman"/>
          <w:color w:val="000000" w:themeColor="text1"/>
          <w:sz w:val="26"/>
          <w:szCs w:val="26"/>
          <w:lang w:val="vi-VN"/>
        </w:rPr>
        <w:t xml:space="preserve"> </w:t>
      </w:r>
      <w:r w:rsidRPr="00050474">
        <w:rPr>
          <w:rStyle w:val="Heading1Char"/>
          <w:rFonts w:ascii="Times New Roman" w:hAnsi="Times New Roman" w:cs="Times New Roman"/>
          <w:b w:val="0"/>
          <w:color w:val="000000" w:themeColor="text1"/>
          <w:sz w:val="26"/>
          <w:szCs w:val="26"/>
          <w:lang w:val="vi-VN"/>
        </w:rPr>
        <w:t>x</w:t>
      </w:r>
      <w:r w:rsidRPr="00050474">
        <w:rPr>
          <w:rStyle w:val="Heading1Char"/>
          <w:rFonts w:ascii="Times New Roman" w:eastAsiaTheme="minorHAnsi" w:hAnsi="Times New Roman" w:cs="Times New Roman"/>
          <w:b w:val="0"/>
          <w:color w:val="000000" w:themeColor="text1"/>
          <w:sz w:val="26"/>
          <w:szCs w:val="26"/>
          <w:lang w:val="vi-VN"/>
        </w:rPr>
        <w:t xml:space="preserve">ác định các yếu tố ảnh hưởng và mức độ tác động </w:t>
      </w:r>
      <w:r w:rsidRPr="00050474">
        <w:rPr>
          <w:rFonts w:ascii="Times New Roman" w:hAnsi="Times New Roman" w:cs="Times New Roman"/>
          <w:color w:val="000000" w:themeColor="text1"/>
          <w:szCs w:val="26"/>
          <w:lang w:val="vi-VN"/>
        </w:rPr>
        <w:t>của các nhân tố độc lập đến tổ chức công tác kế toán tại các bệnh viện công lập khu vực ĐBSCL</w:t>
      </w:r>
      <w:r w:rsidRPr="00050474">
        <w:rPr>
          <w:rFonts w:ascii="Times New Roman" w:hAnsi="Times New Roman" w:cs="Times New Roman"/>
          <w:bCs/>
          <w:color w:val="000000" w:themeColor="text1"/>
          <w:szCs w:val="26"/>
          <w:lang w:val="vi-VN"/>
        </w:rPr>
        <w:t>, nghiên cứu vận dụng các phương pháp xử lý dữ liệu định lượng như thống kê mô tả, kiểm định độ tin cậy bằng hệ số Cronbach’s Alpha, phân tích nhân tố khám phá (EFA) và phân tích hồi quy đa biến.</w:t>
      </w:r>
    </w:p>
    <w:p w14:paraId="30E118FD" w14:textId="1A39F71A"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Mục tiêu 4 </w:t>
      </w:r>
      <w:r w:rsidRPr="00050474">
        <w:rPr>
          <w:rStyle w:val="Heading1Char"/>
          <w:rFonts w:ascii="Times New Roman" w:eastAsiaTheme="minorHAnsi" w:hAnsi="Times New Roman" w:cs="Times New Roman"/>
          <w:color w:val="000000" w:themeColor="text1"/>
          <w:sz w:val="26"/>
          <w:szCs w:val="26"/>
          <w:lang w:val="vi-VN"/>
        </w:rPr>
        <w:t>–</w:t>
      </w:r>
      <w:r w:rsidRPr="00050474">
        <w:rPr>
          <w:rStyle w:val="Heading1Char"/>
          <w:rFonts w:ascii="Times New Roman" w:hAnsi="Times New Roman" w:cs="Times New Roman"/>
          <w:color w:val="000000" w:themeColor="text1"/>
          <w:sz w:val="26"/>
          <w:szCs w:val="26"/>
          <w:lang w:val="vi-VN"/>
        </w:rPr>
        <w:t xml:space="preserve"> </w:t>
      </w:r>
      <w:r w:rsidRPr="00050474">
        <w:rPr>
          <w:rFonts w:ascii="Times New Roman" w:hAnsi="Times New Roman" w:cs="Times New Roman"/>
          <w:color w:val="000000" w:themeColor="text1"/>
          <w:szCs w:val="26"/>
          <w:lang w:val="vi-VN"/>
        </w:rPr>
        <w:t>đề xuất giải pháp hoàn thiện tổ chức công tác kế toán, nghiên cứu kết hợp kết quả định tính và định lượng để đề xuất các giải pháp có cơ sở khoa học và phù hợp thực tiễn, đáp ứng yêu cầu đổi mới và tự chủ tài chính của các bệnh viện công lập.</w:t>
      </w:r>
    </w:p>
    <w:p w14:paraId="46886FB0" w14:textId="1648AC82" w:rsidR="00342633" w:rsidRPr="00050474" w:rsidRDefault="0051710A">
      <w:pPr>
        <w:spacing w:line="360" w:lineRule="auto"/>
        <w:ind w:firstLine="567"/>
        <w:jc w:val="both"/>
        <w:rPr>
          <w:rFonts w:ascii="Times New Roman" w:hAnsi="Times New Roman" w:cs="Times New Roman"/>
          <w:b/>
          <w:iCs/>
          <w:color w:val="000000" w:themeColor="text1"/>
          <w:szCs w:val="26"/>
          <w:lang w:val="vi-VN"/>
        </w:rPr>
      </w:pPr>
      <w:r w:rsidRPr="00050474">
        <w:rPr>
          <w:rFonts w:ascii="Times New Roman" w:hAnsi="Times New Roman" w:cs="Times New Roman"/>
          <w:color w:val="000000" w:themeColor="text1"/>
          <w:szCs w:val="26"/>
          <w:lang w:val="vi-VN"/>
        </w:rPr>
        <w:t xml:space="preserve">Thông qua việc kết hợp các phương pháp trên, luận án đảm bảo được tính hệ thống, khoa học và khách quan trong việc xử lý và phân tích dữ liệu, từ đó làm cơ sở đáng tin cậy cho các đề xuất, khuyến nghị chính sách. </w:t>
      </w:r>
    </w:p>
    <w:p w14:paraId="3451DE3A" w14:textId="3BF1E1BE" w:rsidR="00342633" w:rsidRPr="00050474" w:rsidRDefault="0051710A">
      <w:pPr>
        <w:pStyle w:val="Heading1"/>
        <w:rPr>
          <w:color w:val="000000" w:themeColor="text1"/>
          <w:sz w:val="26"/>
          <w:szCs w:val="26"/>
          <w:lang w:val="vi-VN"/>
        </w:rPr>
      </w:pPr>
      <w:bookmarkStart w:id="58" w:name="_Toc210724132"/>
      <w:bookmarkStart w:id="59" w:name="_Toc229148233"/>
      <w:r w:rsidRPr="00050474">
        <w:rPr>
          <w:color w:val="000000" w:themeColor="text1"/>
          <w:sz w:val="26"/>
          <w:szCs w:val="26"/>
          <w:lang w:val="vi-VN"/>
        </w:rPr>
        <w:lastRenderedPageBreak/>
        <w:t>5.</w:t>
      </w:r>
      <w:r w:rsidR="00EA4EDB" w:rsidRPr="00050474">
        <w:rPr>
          <w:color w:val="000000" w:themeColor="text1"/>
          <w:sz w:val="26"/>
          <w:szCs w:val="26"/>
          <w:lang w:val="vi-VN"/>
        </w:rPr>
        <w:t>5</w:t>
      </w:r>
      <w:r w:rsidRPr="00050474">
        <w:rPr>
          <w:color w:val="000000" w:themeColor="text1"/>
          <w:sz w:val="26"/>
          <w:szCs w:val="26"/>
          <w:lang w:val="vi-VN"/>
        </w:rPr>
        <w:t>. Mô hình nghiên cứu thực nghiệm</w:t>
      </w:r>
      <w:bookmarkEnd w:id="58"/>
      <w:bookmarkEnd w:id="59"/>
    </w:p>
    <w:p w14:paraId="43C735B4"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Trên cơ sở tổng hợp các công trình nghiên cứu trước đây, kết hợp với kết quả nghiên cứu định tính và đặc điểm bối cảnh các bệnh viện công lập khu vực ĐBSCL, luận án đề xuất mô hình nghiên cứu thực nghiệm nhằm xác định và đo lường mức độ tác động của các nhân tố đến tổ chức công tác kế toán. Mô hình nghiên cứu được xây dựng theo hướng tiếp cận hệ thống, trong đó biến phụ thuộc là tổ chức công tác kế toán (TCCTKT). Trong mô hình, TCCTKT phản ánh mức độ hiệu quả, hợp lý và phù hợp của việc tổ chức các hoạt động kế toán, bao gồm hệ thống chứng từ, tài khoản, sổ sách, quy trình lập báo cáo, kiểm soát nội bộ và cung cấp thông tin cho quản lý. Các biến độc lập được giả định có ảnh hưởng đến biến phụ thuộc bao gồm:</w:t>
      </w:r>
    </w:p>
    <w:p w14:paraId="4C64240A"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Môi trường pháp lý (MTPL) có liên quan đến hệ thống văn bản pháp quy, chế độ kế toán, hướng dẫn của Bộ Y tế, Bộ Tài chính và các cơ quan quản lý. Môi trường pháp lý rõ ràng, đồng bộ sẽ tạo điều kiện thuận lợi cho việc tổ chức công tác kế toán tại các bệnh viện công lập khu vực ĐBSCL.</w:t>
      </w:r>
    </w:p>
    <w:p w14:paraId="38C771D2"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Nhu cầu thông tin kế toán (NCTTKT) phản ánh yêu cầu về thông tin phục vụ quản lý, điều hành, kiểm soát tài chính và ra quyết định của lãnh đạo bệnh viện và cơ quan chủ quản.</w:t>
      </w:r>
    </w:p>
    <w:p w14:paraId="56664520"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Năng lực của nhân viên kế toán (NLNVKT) phản ánh trình độ chuyên môn, kỹ năng nghiệp vụ, kinh nghiệm và thái độ nghề nghiệp của đội ngũ kế toán.</w:t>
      </w:r>
    </w:p>
    <w:p w14:paraId="2C76D38A"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Nguồn tài chính đầu tư (NTCDT) phản ánh khả năng huy động và sử dụng các nguồn lực tài chính, ảnh hưởng đến quy mô và phạm vi hoạt động kế toán.</w:t>
      </w:r>
    </w:p>
    <w:p w14:paraId="659E12B9"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Quy trình lập dự toán (QTLDT) phản ánh tính khoa học, minh bạch, hợp lý của quy trình lập dự toán thu–chi; mức độ phối hợp giữa các bộ phận.</w:t>
      </w:r>
    </w:p>
    <w:p w14:paraId="7C4128E2"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Công nghệ thông tin kế toán (PMKT) phản ánh mức độ ứng dụng phần mềm kế toán và hệ thống CNTT trong xử lý và lưu trữ dữ liệu; khả năng tích hợp và tự động hóa.</w:t>
      </w:r>
    </w:p>
    <w:p w14:paraId="6ACA5298"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Quản lý rủi ro (QLRR) có liên quan đến các biện pháp nhận diện, đánh giá và kiểm soát rủi ro trong hoạt động tài chính - kế toán, đảm bảo tính chính xác và an toàn thông tin.</w:t>
      </w:r>
    </w:p>
    <w:p w14:paraId="6ECF9205" w14:textId="1E168258"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Các nhân tố độc lập tác động trực tiếp đến TCCTKT. Sự tác động này có thể khác nhau về mức độ và chiều hướng, được kiểm định thông qua nghiên cứu định lượng. Kết quả phân tích sẽ giúp xác định </w:t>
      </w:r>
      <w:r w:rsidR="00EA0097" w:rsidRPr="00050474">
        <w:rPr>
          <w:rFonts w:ascii="Times New Roman" w:hAnsi="Times New Roman" w:cs="Times New Roman"/>
          <w:color w:val="000000" w:themeColor="text1"/>
          <w:szCs w:val="26"/>
          <w:lang w:val="vi-VN"/>
        </w:rPr>
        <w:t>nhân</w:t>
      </w:r>
      <w:r w:rsidRPr="00050474">
        <w:rPr>
          <w:rFonts w:ascii="Times New Roman" w:hAnsi="Times New Roman" w:cs="Times New Roman"/>
          <w:color w:val="000000" w:themeColor="text1"/>
          <w:szCs w:val="26"/>
          <w:lang w:val="vi-VN"/>
        </w:rPr>
        <w:t xml:space="preserve"> tố nào có ảnh hưởng mạnh nhất, từ đó làm cơ sở để </w:t>
      </w:r>
      <w:r w:rsidRPr="00050474">
        <w:rPr>
          <w:rFonts w:ascii="Times New Roman" w:hAnsi="Times New Roman" w:cs="Times New Roman"/>
          <w:color w:val="000000" w:themeColor="text1"/>
          <w:szCs w:val="26"/>
          <w:lang w:val="vi-VN"/>
        </w:rPr>
        <w:lastRenderedPageBreak/>
        <w:t>đề xuất giải pháp nâng cao tổ chức công tác kế toán tại các bệnh viện công lập khu vực ĐBSCL.</w:t>
      </w:r>
    </w:p>
    <w:p w14:paraId="2C21ACF3" w14:textId="5DF65E9A" w:rsidR="00342633" w:rsidRPr="00050474" w:rsidRDefault="0051710A">
      <w:pPr>
        <w:pStyle w:val="Heading1"/>
        <w:rPr>
          <w:color w:val="000000" w:themeColor="text1"/>
          <w:sz w:val="26"/>
          <w:szCs w:val="26"/>
          <w:lang w:val="vi-VN"/>
        </w:rPr>
      </w:pPr>
      <w:bookmarkStart w:id="60" w:name="_Toc210724133"/>
      <w:bookmarkStart w:id="61" w:name="_Toc229148234"/>
      <w:bookmarkStart w:id="62" w:name="_Hlk222650354"/>
      <w:r w:rsidRPr="00050474">
        <w:rPr>
          <w:color w:val="000000" w:themeColor="text1"/>
          <w:sz w:val="26"/>
          <w:szCs w:val="26"/>
          <w:lang w:val="vi-VN"/>
        </w:rPr>
        <w:t>5.</w:t>
      </w:r>
      <w:r w:rsidR="00EA4EDB" w:rsidRPr="00050474">
        <w:rPr>
          <w:color w:val="000000" w:themeColor="text1"/>
          <w:sz w:val="26"/>
          <w:szCs w:val="26"/>
          <w:lang w:val="vi-VN"/>
        </w:rPr>
        <w:t>6</w:t>
      </w:r>
      <w:r w:rsidRPr="00050474">
        <w:rPr>
          <w:color w:val="000000" w:themeColor="text1"/>
          <w:sz w:val="26"/>
          <w:szCs w:val="26"/>
          <w:lang w:val="vi-VN"/>
        </w:rPr>
        <w:t>. Giả thuyết nghiên cứu</w:t>
      </w:r>
      <w:bookmarkEnd w:id="60"/>
      <w:bookmarkEnd w:id="61"/>
    </w:p>
    <w:p w14:paraId="22F4A5BE" w14:textId="77777777" w:rsidR="00342633" w:rsidRPr="00050474" w:rsidRDefault="0051710A" w:rsidP="00136409">
      <w:pPr>
        <w:spacing w:after="120" w:line="360" w:lineRule="auto"/>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Dựa trên khung lý thuyết trung tâm TOE, lý thuyết về kế toán công, quản trị công cùng kết quả nghiên cứu định tính, luận án phát triển các giả thuyết nghiên cứu nhằm kiểm định tác động của các yếu tố thuộc Môi trường thể chế, đặc điểm tổ chức và hạ tầng và công nghệ đến Tổ chức công tác kế toán (TCCTKT) tại các bệnh viện công lập khu vực ĐBSCL.</w:t>
      </w:r>
    </w:p>
    <w:p w14:paraId="1E873E18" w14:textId="1A0D82BE" w:rsidR="00342633" w:rsidRPr="00050474" w:rsidRDefault="0051710A">
      <w:pPr>
        <w:pStyle w:val="Heading2"/>
        <w:rPr>
          <w:i/>
          <w:iCs w:val="0"/>
          <w:color w:val="000000" w:themeColor="text1"/>
          <w:szCs w:val="26"/>
          <w:lang w:val="vi-VN"/>
        </w:rPr>
      </w:pPr>
      <w:bookmarkStart w:id="63" w:name="_Toc229148235"/>
      <w:r w:rsidRPr="00050474">
        <w:rPr>
          <w:i/>
          <w:color w:val="000000" w:themeColor="text1"/>
          <w:szCs w:val="26"/>
          <w:lang w:val="vi-VN"/>
        </w:rPr>
        <w:t>5.</w:t>
      </w:r>
      <w:r w:rsidR="00EA4EDB" w:rsidRPr="00050474">
        <w:rPr>
          <w:i/>
          <w:color w:val="000000" w:themeColor="text1"/>
          <w:szCs w:val="26"/>
          <w:lang w:val="vi-VN"/>
        </w:rPr>
        <w:t>6</w:t>
      </w:r>
      <w:r w:rsidRPr="00050474">
        <w:rPr>
          <w:i/>
          <w:color w:val="000000" w:themeColor="text1"/>
          <w:szCs w:val="26"/>
          <w:lang w:val="vi-VN"/>
        </w:rPr>
        <w:t>.1. Nhóm giả thuyết thuộc Môi trường thể chế</w:t>
      </w:r>
      <w:bookmarkEnd w:id="63"/>
    </w:p>
    <w:p w14:paraId="4565F0EA" w14:textId="77777777" w:rsidR="00342633" w:rsidRPr="00050474" w:rsidRDefault="0051710A">
      <w:pPr>
        <w:spacing w:after="120" w:line="360" w:lineRule="auto"/>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Trong khung TOE, bối cảnh môi trường đề cập đến các yếu tố bên ngoài tác động đến cấu trúc của đơn vị. Vận dụng Lý thuyết Thể chế, các bệnh viện công khu vực ĐBSCL hoạt động trong môi trường có tính quy phạm cao, chịu áp lực tuân thủ các quy định của Nhà nước để đảm bảo tính hợp pháp.</w:t>
      </w:r>
    </w:p>
    <w:p w14:paraId="72D824CF" w14:textId="77777777" w:rsidR="00342633" w:rsidRPr="00050474" w:rsidRDefault="0051710A">
      <w:pPr>
        <w:spacing w:after="120" w:line="360" w:lineRule="auto"/>
        <w:ind w:left="1701" w:hanging="1701"/>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Giả thuyết 1 (H1):</w:t>
      </w:r>
      <w:r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i/>
          <w:iCs/>
          <w:color w:val="000000" w:themeColor="text1"/>
          <w:szCs w:val="26"/>
          <w:lang w:val="vi-VN"/>
        </w:rPr>
        <w:t>Môi trường pháp lý (MTPL) có tác động tích cực đến tổ chức công tác kế toán (TCCTKT) tại các bệnh viện công lập.</w:t>
      </w:r>
    </w:p>
    <w:p w14:paraId="1CCFD9CA" w14:textId="04906761" w:rsidR="00342633" w:rsidRPr="00050474" w:rsidRDefault="0051710A">
      <w:pPr>
        <w:pStyle w:val="Heading2"/>
        <w:rPr>
          <w:i/>
          <w:iCs w:val="0"/>
          <w:color w:val="000000" w:themeColor="text1"/>
          <w:szCs w:val="26"/>
          <w:lang w:val="vi-VN"/>
        </w:rPr>
      </w:pPr>
      <w:bookmarkStart w:id="64" w:name="_Toc229148236"/>
      <w:r w:rsidRPr="00050474">
        <w:rPr>
          <w:i/>
          <w:color w:val="000000" w:themeColor="text1"/>
          <w:szCs w:val="26"/>
          <w:lang w:val="vi-VN"/>
        </w:rPr>
        <w:t>5.</w:t>
      </w:r>
      <w:r w:rsidR="00EA4EDB" w:rsidRPr="00050474">
        <w:rPr>
          <w:i/>
          <w:color w:val="000000" w:themeColor="text1"/>
          <w:szCs w:val="26"/>
          <w:lang w:val="vi-VN"/>
        </w:rPr>
        <w:t>6</w:t>
      </w:r>
      <w:r w:rsidRPr="00050474">
        <w:rPr>
          <w:i/>
          <w:color w:val="000000" w:themeColor="text1"/>
          <w:szCs w:val="26"/>
          <w:lang w:val="vi-VN"/>
        </w:rPr>
        <w:t>.2. Nhóm giả thuyết thuộc Đặc điểm tổ chức</w:t>
      </w:r>
      <w:bookmarkEnd w:id="64"/>
    </w:p>
    <w:p w14:paraId="6CE2D4AD" w14:textId="77777777" w:rsidR="00342633" w:rsidRPr="00050474" w:rsidRDefault="0051710A">
      <w:pPr>
        <w:spacing w:after="120" w:line="360" w:lineRule="auto"/>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Đặc điểm tổ chức trong khung TOE phản ánh các đặc điểm nội tại về nguồn lực và cơ chế quản trị. Luận án vận dụng Lý thuyết Nguồn lực, Lý thuyết Đại diện và Lý thuyết Thông tin để phát triển các giả thuyết sau:</w:t>
      </w:r>
    </w:p>
    <w:p w14:paraId="5505D6D3" w14:textId="77777777" w:rsidR="00342633" w:rsidRPr="00050474" w:rsidRDefault="0051710A">
      <w:pPr>
        <w:spacing w:after="120" w:line="360" w:lineRule="auto"/>
        <w:ind w:left="1701" w:hanging="1701"/>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Giả thuyết 2 (H2):</w:t>
      </w:r>
      <w:r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i/>
          <w:iCs/>
          <w:color w:val="000000" w:themeColor="text1"/>
          <w:szCs w:val="26"/>
          <w:lang w:val="vi-VN"/>
        </w:rPr>
        <w:t>Nhu cầu thông tin kế toán (NCTTKT) có tác động tích cực đến tổ chức công tác kế toán (TCCTKT) tại các bệnh viện công lập.</w:t>
      </w:r>
    </w:p>
    <w:p w14:paraId="5C0F3EBB" w14:textId="77777777" w:rsidR="00342633" w:rsidRPr="00050474" w:rsidRDefault="0051710A">
      <w:pPr>
        <w:spacing w:after="120" w:line="360" w:lineRule="auto"/>
        <w:ind w:left="1701" w:hanging="1701"/>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Giả thuyết 3 (H3):</w:t>
      </w:r>
      <w:r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i/>
          <w:iCs/>
          <w:color w:val="000000" w:themeColor="text1"/>
          <w:szCs w:val="26"/>
          <w:lang w:val="vi-VN"/>
        </w:rPr>
        <w:t>Quy trình lập dự toán (QTLDT) có tác động tích cực đến tổ chức công tác kế toán (TCCTKT) tại các bệnh viện công lập.</w:t>
      </w:r>
    </w:p>
    <w:p w14:paraId="4FE68338" w14:textId="77777777" w:rsidR="00342633" w:rsidRPr="00050474" w:rsidRDefault="0051710A">
      <w:pPr>
        <w:spacing w:after="120" w:line="360" w:lineRule="auto"/>
        <w:ind w:left="1701" w:hanging="1701"/>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Giả thuyết 5 (H4): Năng lực nhân viên kế toán (NLNVKT) có tác động tích cực đến tổ chức công tác kế toán (TCCTKT) tại các bệnh viện công lập.</w:t>
      </w:r>
    </w:p>
    <w:p w14:paraId="5944DBC6" w14:textId="77777777" w:rsidR="00342633" w:rsidRPr="00050474" w:rsidRDefault="0051710A">
      <w:pPr>
        <w:spacing w:after="120" w:line="360" w:lineRule="auto"/>
        <w:ind w:left="1701" w:hanging="1701"/>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Giả thuyết 6 (H5): Nguồn tài chính đầu tư (NTCDT) có tác động tích cực đến tổ chức công tác kế toán (TCCTKT) tại các bệnh viện công lập.</w:t>
      </w:r>
    </w:p>
    <w:p w14:paraId="41B0325E" w14:textId="77777777" w:rsidR="00342633" w:rsidRPr="00050474" w:rsidRDefault="0051710A">
      <w:pPr>
        <w:spacing w:after="120" w:line="360" w:lineRule="auto"/>
        <w:ind w:left="1701" w:hanging="1701"/>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Giả thuyết 7 (H6): Quản lý rủi ro (QLRR) có tác động tích cực đến tổ chức công tác kế toán (TCCTKT) tại các bệnh viện công lập.</w:t>
      </w:r>
    </w:p>
    <w:p w14:paraId="1F890828" w14:textId="080238EF" w:rsidR="00342633" w:rsidRPr="00050474" w:rsidRDefault="0051710A">
      <w:pPr>
        <w:pStyle w:val="Heading2"/>
        <w:rPr>
          <w:i/>
          <w:iCs w:val="0"/>
          <w:color w:val="000000" w:themeColor="text1"/>
          <w:szCs w:val="26"/>
          <w:lang w:val="vi-VN"/>
        </w:rPr>
      </w:pPr>
      <w:bookmarkStart w:id="65" w:name="_Toc229148237"/>
      <w:r w:rsidRPr="00050474">
        <w:rPr>
          <w:i/>
          <w:color w:val="000000" w:themeColor="text1"/>
          <w:szCs w:val="26"/>
          <w:lang w:val="vi-VN"/>
        </w:rPr>
        <w:lastRenderedPageBreak/>
        <w:t>5.</w:t>
      </w:r>
      <w:r w:rsidR="00EA4EDB" w:rsidRPr="00050474">
        <w:rPr>
          <w:i/>
          <w:color w:val="000000" w:themeColor="text1"/>
          <w:szCs w:val="26"/>
          <w:lang w:val="vi-VN"/>
        </w:rPr>
        <w:t>6</w:t>
      </w:r>
      <w:r w:rsidRPr="00050474">
        <w:rPr>
          <w:i/>
          <w:color w:val="000000" w:themeColor="text1"/>
          <w:szCs w:val="26"/>
          <w:lang w:val="vi-VN"/>
        </w:rPr>
        <w:t>.3. Nhóm giả thuyết thuộc Hạ tầng và công nghệ</w:t>
      </w:r>
      <w:bookmarkEnd w:id="65"/>
    </w:p>
    <w:p w14:paraId="670AAF5C" w14:textId="77777777" w:rsidR="00342633" w:rsidRPr="00050474" w:rsidRDefault="0051710A">
      <w:pPr>
        <w:spacing w:after="120" w:line="360" w:lineRule="auto"/>
        <w:jc w:val="both"/>
        <w:rPr>
          <w:rFonts w:ascii="Times New Roman" w:hAnsi="Times New Roman" w:cs="Times New Roman"/>
          <w:i/>
          <w:iCs/>
          <w:color w:val="000000" w:themeColor="text1"/>
          <w:szCs w:val="26"/>
          <w:lang w:val="vi-VN"/>
        </w:rPr>
      </w:pPr>
      <w:r w:rsidRPr="00050474">
        <w:rPr>
          <w:rFonts w:ascii="Times New Roman" w:hAnsi="Times New Roman" w:cs="Times New Roman"/>
          <w:color w:val="000000" w:themeColor="text1"/>
          <w:szCs w:val="26"/>
          <w:shd w:val="clear" w:color="auto" w:fill="FFFFFF"/>
          <w:lang w:val="vi-VN"/>
        </w:rPr>
        <w:t>Trong khung TOE, công nghệ là yếu tố thúc đẩy sự đổi mới giúp ích tổ chức công tác kế toán tại các bệnh viện công lập khu vực ĐBSCL.</w:t>
      </w:r>
    </w:p>
    <w:p w14:paraId="1FF64B8B" w14:textId="77777777" w:rsidR="00342633" w:rsidRPr="00050474" w:rsidRDefault="0051710A">
      <w:pPr>
        <w:spacing w:after="120" w:line="360" w:lineRule="auto"/>
        <w:ind w:left="1701" w:hanging="1701"/>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Giả thuyết 7 (H7):</w:t>
      </w:r>
      <w:r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i/>
          <w:iCs/>
          <w:color w:val="000000" w:themeColor="text1"/>
          <w:szCs w:val="26"/>
          <w:lang w:val="vi-VN"/>
        </w:rPr>
        <w:t>Công nghệ thông tin (CNTT) có tác động tích cực đến tổ chức công tác kế toán (TCCTKT) tại các bệnh viện công lập.</w:t>
      </w:r>
    </w:p>
    <w:p w14:paraId="554F176D"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noProof/>
          <w:color w:val="000000" w:themeColor="text1"/>
          <w14:ligatures w14:val="standardContextual"/>
        </w:rPr>
        <mc:AlternateContent>
          <mc:Choice Requires="wpg">
            <w:drawing>
              <wp:anchor distT="0" distB="0" distL="114300" distR="114300" simplePos="0" relativeHeight="251660288" behindDoc="0" locked="0" layoutInCell="1" allowOverlap="1" wp14:anchorId="0E3AB1F3" wp14:editId="7CC97910">
                <wp:simplePos x="0" y="0"/>
                <wp:positionH relativeFrom="page">
                  <wp:align>center</wp:align>
                </wp:positionH>
                <wp:positionV relativeFrom="paragraph">
                  <wp:posOffset>151130</wp:posOffset>
                </wp:positionV>
                <wp:extent cx="5923915" cy="4616450"/>
                <wp:effectExtent l="0" t="0" r="20320" b="13335"/>
                <wp:wrapNone/>
                <wp:docPr id="17" name="Group 17"/>
                <wp:cNvGraphicFramePr/>
                <a:graphic xmlns:a="http://schemas.openxmlformats.org/drawingml/2006/main">
                  <a:graphicData uri="http://schemas.microsoft.com/office/word/2010/wordprocessingGroup">
                    <wpg:wgp>
                      <wpg:cNvGrpSpPr/>
                      <wpg:grpSpPr>
                        <a:xfrm>
                          <a:off x="0" y="0"/>
                          <a:ext cx="5923720" cy="4616367"/>
                          <a:chOff x="0" y="0"/>
                          <a:chExt cx="5923720" cy="4616367"/>
                        </a:xfrm>
                      </wpg:grpSpPr>
                      <wps:wsp>
                        <wps:cNvPr id="19" name="Rectangle: Rounded Corners 19"/>
                        <wps:cNvSpPr/>
                        <wps:spPr>
                          <a:xfrm>
                            <a:off x="4027525" y="1613934"/>
                            <a:ext cx="1296670" cy="1126490"/>
                          </a:xfrm>
                          <a:prstGeom prst="roundRect">
                            <a:avLst/>
                          </a:prstGeom>
                          <a:ln w="38100"/>
                        </wps:spPr>
                        <wps:style>
                          <a:lnRef idx="2">
                            <a:schemeClr val="dk1"/>
                          </a:lnRef>
                          <a:fillRef idx="1">
                            <a:schemeClr val="lt1"/>
                          </a:fillRef>
                          <a:effectRef idx="0">
                            <a:schemeClr val="dk1"/>
                          </a:effectRef>
                          <a:fontRef idx="minor">
                            <a:schemeClr val="dk1"/>
                          </a:fontRef>
                        </wps:style>
                        <wps:txbx>
                          <w:txbxContent>
                            <w:p w14:paraId="4EDCBC5E" w14:textId="77777777" w:rsidR="00733CC4" w:rsidRDefault="00733CC4">
                              <w:pPr>
                                <w:jc w:val="center"/>
                                <w:rPr>
                                  <w:rFonts w:ascii="Times New Roman" w:hAnsi="Times New Roman"/>
                                  <w:b/>
                                  <w:bCs/>
                                  <w:szCs w:val="26"/>
                                </w:rPr>
                              </w:pPr>
                              <w:r>
                                <w:rPr>
                                  <w:rFonts w:ascii="Times New Roman" w:hAnsi="Times New Roman"/>
                                  <w:b/>
                                  <w:bCs/>
                                  <w:szCs w:val="26"/>
                                </w:rPr>
                                <w:t>TỔ CHỨC CÔNG TÁC KẾ TOÁN</w:t>
                              </w:r>
                            </w:p>
                            <w:p w14:paraId="05335278" w14:textId="77777777" w:rsidR="00733CC4" w:rsidRDefault="00733CC4">
                              <w:pPr>
                                <w:jc w:val="center"/>
                              </w:pPr>
                              <w:r>
                                <w:rPr>
                                  <w:rFonts w:ascii="Times New Roman" w:hAnsi="Times New Roman"/>
                                  <w:b/>
                                  <w:bCs/>
                                  <w:szCs w:val="26"/>
                                </w:rPr>
                                <w:t>(TCCTKT)</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0" name="Group 20"/>
                        <wpg:cNvGrpSpPr/>
                        <wpg:grpSpPr>
                          <a:xfrm>
                            <a:off x="2965835" y="0"/>
                            <a:ext cx="2957885" cy="1038225"/>
                            <a:chOff x="-255830" y="0"/>
                            <a:chExt cx="2957885" cy="1038225"/>
                          </a:xfrm>
                        </wpg:grpSpPr>
                        <wps:wsp>
                          <wps:cNvPr id="21" name="Rectangle: Rounded Corners 21"/>
                          <wps:cNvSpPr/>
                          <wps:spPr>
                            <a:xfrm>
                              <a:off x="-255830" y="0"/>
                              <a:ext cx="2957885" cy="1038225"/>
                            </a:xfrm>
                            <a:prstGeom prst="round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2B9F86B8" w14:textId="77777777" w:rsidR="00733CC4" w:rsidRDefault="00733CC4">
                                <w:pPr>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1. MÔI TRƯỜNG THỂ CHẾ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 name="Rectangle 22"/>
                          <wps:cNvSpPr>
                            <a:spLocks noChangeArrowheads="1"/>
                          </wps:cNvSpPr>
                          <wps:spPr bwMode="auto">
                            <a:xfrm>
                              <a:off x="327546" y="409433"/>
                              <a:ext cx="1733034" cy="532067"/>
                            </a:xfrm>
                            <a:prstGeom prst="rect">
                              <a:avLst/>
                            </a:prstGeom>
                            <a:solidFill>
                              <a:srgbClr val="FFFFFF"/>
                            </a:solidFill>
                            <a:ln w="9525">
                              <a:noFill/>
                              <a:miter lim="800000"/>
                            </a:ln>
                          </wps:spPr>
                          <wps:txbx>
                            <w:txbxContent>
                              <w:p w14:paraId="76E775F2" w14:textId="77777777" w:rsidR="00733CC4" w:rsidRDefault="00733CC4">
                                <w:pPr>
                                  <w:jc w:val="center"/>
                                  <w:rPr>
                                    <w:rFonts w:ascii="Times New Roman" w:hAnsi="Times New Roman"/>
                                    <w:szCs w:val="26"/>
                                  </w:rPr>
                                </w:pPr>
                                <w:r>
                                  <w:rPr>
                                    <w:rFonts w:ascii="Times New Roman" w:hAnsi="Times New Roman"/>
                                    <w:szCs w:val="26"/>
                                  </w:rPr>
                                  <w:t>Môi trường pháp lý (MTPL) –</w:t>
                                </w:r>
                                <w:r>
                                  <w:rPr>
                                    <w:rFonts w:ascii="Times New Roman" w:hAnsi="Times New Roman"/>
                                    <w:b/>
                                    <w:bCs/>
                                    <w:szCs w:val="26"/>
                                  </w:rPr>
                                  <w:t xml:space="preserve"> H1</w:t>
                                </w:r>
                              </w:p>
                            </w:txbxContent>
                          </wps:txbx>
                          <wps:bodyPr rot="0" vert="horz" wrap="square" lIns="91440" tIns="45720" rIns="91440" bIns="45720" anchor="t" anchorCtr="0" upright="1">
                            <a:noAutofit/>
                          </wps:bodyPr>
                        </wps:wsp>
                      </wpg:grpSp>
                      <wpg:grpSp>
                        <wpg:cNvPr id="24" name="Group 24"/>
                        <wpg:cNvGrpSpPr/>
                        <wpg:grpSpPr>
                          <a:xfrm>
                            <a:off x="0" y="276446"/>
                            <a:ext cx="2565400" cy="4339921"/>
                            <a:chOff x="0" y="34501"/>
                            <a:chExt cx="2565779" cy="3657008"/>
                          </a:xfrm>
                        </wpg:grpSpPr>
                        <wps:wsp>
                          <wps:cNvPr id="26" name="Rectangle: Rounded Corners 26"/>
                          <wps:cNvSpPr/>
                          <wps:spPr>
                            <a:xfrm>
                              <a:off x="0" y="34501"/>
                              <a:ext cx="2565779" cy="3657008"/>
                            </a:xfrm>
                            <a:prstGeom prst="round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5153A270" w14:textId="77777777" w:rsidR="00733CC4" w:rsidRDefault="00733CC4">
                                <w:pPr>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2. ĐẶC ĐIỂM TỔ CHỨC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Rectangle 27"/>
                          <wps:cNvSpPr>
                            <a:spLocks noChangeArrowheads="1"/>
                          </wps:cNvSpPr>
                          <wps:spPr bwMode="auto">
                            <a:xfrm>
                              <a:off x="218364" y="423081"/>
                              <a:ext cx="2047165" cy="520065"/>
                            </a:xfrm>
                            <a:prstGeom prst="rect">
                              <a:avLst/>
                            </a:prstGeom>
                            <a:solidFill>
                              <a:srgbClr val="FFFFFF"/>
                            </a:solidFill>
                            <a:ln w="9525">
                              <a:noFill/>
                              <a:miter lim="800000"/>
                            </a:ln>
                          </wps:spPr>
                          <wps:txbx>
                            <w:txbxContent>
                              <w:p w14:paraId="554015AB" w14:textId="77777777" w:rsidR="00733CC4" w:rsidRDefault="00733CC4">
                                <w:pPr>
                                  <w:jc w:val="center"/>
                                  <w:rPr>
                                    <w:rFonts w:ascii="Times New Roman" w:hAnsi="Times New Roman"/>
                                    <w:szCs w:val="26"/>
                                  </w:rPr>
                                </w:pPr>
                                <w:r>
                                  <w:rPr>
                                    <w:rFonts w:ascii="Times New Roman" w:hAnsi="Times New Roman"/>
                                    <w:szCs w:val="26"/>
                                  </w:rPr>
                                  <w:t>Nhu cầu thông tin kế toán (NCTTKT) -</w:t>
                                </w:r>
                                <w:r>
                                  <w:rPr>
                                    <w:rFonts w:ascii="Times New Roman" w:hAnsi="Times New Roman"/>
                                    <w:b/>
                                    <w:bCs/>
                                    <w:szCs w:val="26"/>
                                  </w:rPr>
                                  <w:t>H2</w:t>
                                </w:r>
                              </w:p>
                            </w:txbxContent>
                          </wps:txbx>
                          <wps:bodyPr rot="0" vert="horz" wrap="square" lIns="91440" tIns="45720" rIns="91440" bIns="45720" anchor="t" anchorCtr="0" upright="1">
                            <a:noAutofit/>
                          </wps:bodyPr>
                        </wps:wsp>
                        <wps:wsp>
                          <wps:cNvPr id="28" name="Rectangle 28"/>
                          <wps:cNvSpPr>
                            <a:spLocks noChangeArrowheads="1"/>
                          </wps:cNvSpPr>
                          <wps:spPr bwMode="auto">
                            <a:xfrm>
                              <a:off x="218364" y="1023582"/>
                              <a:ext cx="2067881" cy="530860"/>
                            </a:xfrm>
                            <a:prstGeom prst="rect">
                              <a:avLst/>
                            </a:prstGeom>
                            <a:solidFill>
                              <a:srgbClr val="FFFFFF"/>
                            </a:solidFill>
                            <a:ln w="9525">
                              <a:noFill/>
                              <a:miter lim="800000"/>
                            </a:ln>
                          </wps:spPr>
                          <wps:txbx>
                            <w:txbxContent>
                              <w:p w14:paraId="173E0930" w14:textId="77777777" w:rsidR="00733CC4" w:rsidRDefault="00733CC4">
                                <w:pPr>
                                  <w:jc w:val="center"/>
                                  <w:rPr>
                                    <w:rFonts w:ascii="Times New Roman" w:hAnsi="Times New Roman"/>
                                    <w:szCs w:val="26"/>
                                  </w:rPr>
                                </w:pPr>
                                <w:r>
                                  <w:rPr>
                                    <w:rFonts w:ascii="Times New Roman" w:hAnsi="Times New Roman"/>
                                    <w:szCs w:val="26"/>
                                  </w:rPr>
                                  <w:t xml:space="preserve">Quy trình lập dự toán (QTLDT) – </w:t>
                                </w:r>
                                <w:r>
                                  <w:rPr>
                                    <w:rFonts w:ascii="Times New Roman" w:hAnsi="Times New Roman"/>
                                    <w:b/>
                                    <w:bCs/>
                                    <w:szCs w:val="26"/>
                                  </w:rPr>
                                  <w:t>H3</w:t>
                                </w:r>
                              </w:p>
                            </w:txbxContent>
                          </wps:txbx>
                          <wps:bodyPr rot="0" vert="horz" wrap="square" lIns="91440" tIns="45720" rIns="91440" bIns="45720" anchor="t" anchorCtr="0" upright="1">
                            <a:noAutofit/>
                          </wps:bodyPr>
                        </wps:wsp>
                        <wps:wsp>
                          <wps:cNvPr id="921180960" name="Rectangle 921180960"/>
                          <wps:cNvSpPr>
                            <a:spLocks noChangeArrowheads="1"/>
                          </wps:cNvSpPr>
                          <wps:spPr bwMode="auto">
                            <a:xfrm>
                              <a:off x="218364" y="1624084"/>
                              <a:ext cx="2056043" cy="563179"/>
                            </a:xfrm>
                            <a:prstGeom prst="rect">
                              <a:avLst/>
                            </a:prstGeom>
                            <a:solidFill>
                              <a:srgbClr val="FFFFFF"/>
                            </a:solidFill>
                            <a:ln w="9525">
                              <a:noFill/>
                              <a:miter lim="800000"/>
                            </a:ln>
                          </wps:spPr>
                          <wps:txbx>
                            <w:txbxContent>
                              <w:p w14:paraId="2CF435A2" w14:textId="77777777" w:rsidR="00733CC4" w:rsidRDefault="00733CC4">
                                <w:pPr>
                                  <w:jc w:val="center"/>
                                  <w:rPr>
                                    <w:rFonts w:ascii="Times New Roman" w:hAnsi="Times New Roman"/>
                                    <w:szCs w:val="26"/>
                                  </w:rPr>
                                </w:pPr>
                                <w:r>
                                  <w:rPr>
                                    <w:rFonts w:ascii="Times New Roman" w:hAnsi="Times New Roman"/>
                                    <w:szCs w:val="26"/>
                                  </w:rPr>
                                  <w:t xml:space="preserve">Năng lực của nhân viên kế toán (NLNVKT) – </w:t>
                                </w:r>
                                <w:r>
                                  <w:rPr>
                                    <w:rFonts w:ascii="Times New Roman" w:hAnsi="Times New Roman"/>
                                    <w:b/>
                                    <w:bCs/>
                                    <w:szCs w:val="26"/>
                                  </w:rPr>
                                  <w:t>H4</w:t>
                                </w:r>
                              </w:p>
                            </w:txbxContent>
                          </wps:txbx>
                          <wps:bodyPr rot="0" vert="horz" wrap="square" lIns="91440" tIns="45720" rIns="91440" bIns="45720" anchor="t" anchorCtr="0" upright="1">
                            <a:noAutofit/>
                          </wps:bodyPr>
                        </wps:wsp>
                        <wps:wsp>
                          <wps:cNvPr id="921180961" name="Rectangle 921180961"/>
                          <wps:cNvSpPr>
                            <a:spLocks noChangeArrowheads="1"/>
                          </wps:cNvSpPr>
                          <wps:spPr bwMode="auto">
                            <a:xfrm>
                              <a:off x="218364" y="2251881"/>
                              <a:ext cx="2067881" cy="510303"/>
                            </a:xfrm>
                            <a:prstGeom prst="rect">
                              <a:avLst/>
                            </a:prstGeom>
                            <a:solidFill>
                              <a:srgbClr val="FFFFFF"/>
                            </a:solidFill>
                            <a:ln w="9525">
                              <a:noFill/>
                              <a:miter lim="800000"/>
                            </a:ln>
                          </wps:spPr>
                          <wps:txbx>
                            <w:txbxContent>
                              <w:p w14:paraId="18E71BA5" w14:textId="77777777" w:rsidR="00733CC4" w:rsidRDefault="00733CC4">
                                <w:pPr>
                                  <w:jc w:val="center"/>
                                  <w:rPr>
                                    <w:rFonts w:ascii="Times New Roman" w:hAnsi="Times New Roman"/>
                                    <w:szCs w:val="26"/>
                                  </w:rPr>
                                </w:pPr>
                                <w:r>
                                  <w:rPr>
                                    <w:rFonts w:ascii="Times New Roman" w:hAnsi="Times New Roman"/>
                                    <w:szCs w:val="26"/>
                                  </w:rPr>
                                  <w:t xml:space="preserve">Nguồn tài chính đầu tư (NTCDT) – </w:t>
                                </w:r>
                                <w:r>
                                  <w:rPr>
                                    <w:rFonts w:ascii="Times New Roman" w:hAnsi="Times New Roman"/>
                                    <w:b/>
                                    <w:bCs/>
                                    <w:szCs w:val="26"/>
                                  </w:rPr>
                                  <w:t>H5</w:t>
                                </w:r>
                              </w:p>
                            </w:txbxContent>
                          </wps:txbx>
                          <wps:bodyPr rot="0" vert="horz" wrap="square" lIns="91440" tIns="45720" rIns="91440" bIns="45720" anchor="t" anchorCtr="0" upright="1">
                            <a:noAutofit/>
                          </wps:bodyPr>
                        </wps:wsp>
                        <wps:wsp>
                          <wps:cNvPr id="921180962" name="Rectangle 921180962"/>
                          <wps:cNvSpPr>
                            <a:spLocks noChangeArrowheads="1"/>
                          </wps:cNvSpPr>
                          <wps:spPr bwMode="auto">
                            <a:xfrm>
                              <a:off x="218364" y="2852382"/>
                              <a:ext cx="2056043" cy="563179"/>
                            </a:xfrm>
                            <a:prstGeom prst="rect">
                              <a:avLst/>
                            </a:prstGeom>
                            <a:solidFill>
                              <a:srgbClr val="FFFFFF"/>
                            </a:solidFill>
                            <a:ln w="9525">
                              <a:noFill/>
                              <a:miter lim="800000"/>
                            </a:ln>
                          </wps:spPr>
                          <wps:txbx>
                            <w:txbxContent>
                              <w:p w14:paraId="57E4BF6E" w14:textId="77777777" w:rsidR="00733CC4" w:rsidRDefault="00733CC4">
                                <w:pPr>
                                  <w:jc w:val="center"/>
                                  <w:rPr>
                                    <w:rFonts w:ascii="Times New Roman" w:hAnsi="Times New Roman"/>
                                    <w:szCs w:val="26"/>
                                  </w:rPr>
                                </w:pPr>
                                <w:r>
                                  <w:rPr>
                                    <w:rFonts w:ascii="Times New Roman" w:hAnsi="Times New Roman"/>
                                    <w:szCs w:val="26"/>
                                  </w:rPr>
                                  <w:t xml:space="preserve">Quản lý rủi ro </w:t>
                                </w:r>
                              </w:p>
                              <w:p w14:paraId="7D90BBF2" w14:textId="77777777" w:rsidR="00733CC4" w:rsidRDefault="00733CC4">
                                <w:pPr>
                                  <w:jc w:val="center"/>
                                  <w:rPr>
                                    <w:rFonts w:ascii="Times New Roman" w:hAnsi="Times New Roman"/>
                                    <w:szCs w:val="26"/>
                                  </w:rPr>
                                </w:pPr>
                                <w:r>
                                  <w:rPr>
                                    <w:rFonts w:ascii="Times New Roman" w:hAnsi="Times New Roman"/>
                                    <w:szCs w:val="26"/>
                                  </w:rPr>
                                  <w:t>(QLRR) –</w:t>
                                </w:r>
                                <w:r>
                                  <w:rPr>
                                    <w:rFonts w:ascii="Times New Roman" w:hAnsi="Times New Roman"/>
                                    <w:b/>
                                    <w:bCs/>
                                    <w:szCs w:val="26"/>
                                  </w:rPr>
                                  <w:t xml:space="preserve"> H6</w:t>
                                </w:r>
                              </w:p>
                            </w:txbxContent>
                          </wps:txbx>
                          <wps:bodyPr rot="0" vert="horz" wrap="square" lIns="91440" tIns="45720" rIns="91440" bIns="45720" anchor="t" anchorCtr="0" upright="1">
                            <a:noAutofit/>
                          </wps:bodyPr>
                        </wps:wsp>
                      </wpg:grpSp>
                      <wpg:grpSp>
                        <wpg:cNvPr id="921180963" name="Group 921180963"/>
                        <wpg:cNvGrpSpPr/>
                        <wpg:grpSpPr>
                          <a:xfrm>
                            <a:off x="3009014" y="3551274"/>
                            <a:ext cx="2634018" cy="1038225"/>
                            <a:chOff x="0" y="0"/>
                            <a:chExt cx="2447925" cy="1038225"/>
                          </a:xfrm>
                        </wpg:grpSpPr>
                        <wps:wsp>
                          <wps:cNvPr id="921180964" name="Rectangle: Rounded Corners 921180964"/>
                          <wps:cNvSpPr/>
                          <wps:spPr>
                            <a:xfrm>
                              <a:off x="0" y="0"/>
                              <a:ext cx="2447925" cy="1038225"/>
                            </a:xfrm>
                            <a:prstGeom prst="round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E655E3D" w14:textId="77777777" w:rsidR="00733CC4" w:rsidRDefault="00733CC4">
                                <w:pPr>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3. HẠ TẦNG VÀ CÔNG NGHỆ</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1180965" name="Rectangle 921180965"/>
                          <wps:cNvSpPr>
                            <a:spLocks noChangeArrowheads="1"/>
                          </wps:cNvSpPr>
                          <wps:spPr bwMode="auto">
                            <a:xfrm>
                              <a:off x="327546" y="409433"/>
                              <a:ext cx="1733034" cy="532067"/>
                            </a:xfrm>
                            <a:prstGeom prst="rect">
                              <a:avLst/>
                            </a:prstGeom>
                            <a:solidFill>
                              <a:srgbClr val="FFFFFF"/>
                            </a:solidFill>
                            <a:ln w="9525">
                              <a:noFill/>
                              <a:miter lim="800000"/>
                            </a:ln>
                          </wps:spPr>
                          <wps:txbx>
                            <w:txbxContent>
                              <w:p w14:paraId="2C58FE8F" w14:textId="77777777" w:rsidR="00733CC4" w:rsidRDefault="00733CC4">
                                <w:pPr>
                                  <w:jc w:val="center"/>
                                  <w:rPr>
                                    <w:rFonts w:ascii="Times New Roman" w:hAnsi="Times New Roman"/>
                                    <w:szCs w:val="26"/>
                                  </w:rPr>
                                </w:pPr>
                                <w:r>
                                  <w:rPr>
                                    <w:rFonts w:ascii="Times New Roman" w:hAnsi="Times New Roman"/>
                                    <w:szCs w:val="26"/>
                                  </w:rPr>
                                  <w:t xml:space="preserve">Công nghệ thông tin (PMKT) </w:t>
                                </w:r>
                                <w:r>
                                  <w:rPr>
                                    <w:rFonts w:ascii="Times New Roman" w:hAnsi="Times New Roman"/>
                                    <w:b/>
                                    <w:bCs/>
                                    <w:szCs w:val="26"/>
                                  </w:rPr>
                                  <w:t>H7</w:t>
                                </w:r>
                              </w:p>
                            </w:txbxContent>
                          </wps:txbx>
                          <wps:bodyPr rot="0" vert="horz" wrap="square" lIns="91440" tIns="45720" rIns="91440" bIns="45720" anchor="ctr" anchorCtr="0" upright="1">
                            <a:noAutofit/>
                          </wps:bodyPr>
                        </wps:wsp>
                      </wpg:grpSp>
                      <wps:wsp>
                        <wps:cNvPr id="921180966" name="Straight Arrow Connector 921180966"/>
                        <wps:cNvCnPr/>
                        <wps:spPr>
                          <a:xfrm>
                            <a:off x="2562447" y="999460"/>
                            <a:ext cx="1474337" cy="98263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67" name="Straight Arrow Connector 921180967"/>
                        <wps:cNvCnPr/>
                        <wps:spPr>
                          <a:xfrm>
                            <a:off x="2562447" y="1711842"/>
                            <a:ext cx="1447042" cy="32754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68" name="Straight Arrow Connector 921180968"/>
                        <wps:cNvCnPr/>
                        <wps:spPr>
                          <a:xfrm flipV="1">
                            <a:off x="2551814" y="2217774"/>
                            <a:ext cx="1459865" cy="15252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69" name="Straight Arrow Connector 921180969"/>
                        <wps:cNvCnPr/>
                        <wps:spPr>
                          <a:xfrm flipV="1">
                            <a:off x="2573079" y="2164612"/>
                            <a:ext cx="1378424" cy="86265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70" name="Straight Arrow Connector 921180970"/>
                        <wps:cNvCnPr/>
                        <wps:spPr>
                          <a:xfrm flipV="1">
                            <a:off x="2562447" y="2109234"/>
                            <a:ext cx="1419367" cy="24565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71" name="Straight Arrow Connector 921180971"/>
                        <wps:cNvCnPr/>
                        <wps:spPr>
                          <a:xfrm flipV="1">
                            <a:off x="4722628" y="2728137"/>
                            <a:ext cx="0" cy="81926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72" name="Straight Arrow Connector 921180972"/>
                        <wps:cNvCnPr/>
                        <wps:spPr>
                          <a:xfrm>
                            <a:off x="4680098" y="1041991"/>
                            <a:ext cx="0" cy="5635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http://schemas.microsoft.com/office/word/2018/wordml" xmlns:w16cex="http://schemas.microsoft.com/office/word/2018/wordml/cex">
            <w:pict>
              <v:group w14:anchorId="0E3AB1F3" id="Group 17" o:spid="_x0000_s1026" style="position:absolute;left:0;text-align:left;margin-left:0;margin-top:11.9pt;width:466.45pt;height:363.5pt;z-index:251660288;mso-position-horizontal:center;mso-position-horizontal-relative:page" coordsize="59237,4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">
                <v:roundrect id="Rectangle: Rounded Corners 19" o:spid="_x0000_s1027" style="position:absolute;left:40275;top:16139;width:12966;height:112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" fillcolor="white [3201]" strokecolor="black [3200]" strokeweight="3pt">
                  <v:stroke joinstyle="miter"/>
                  <v:textbox>
                    <w:txbxContent>
                      <w:p w14:paraId="4EDCBC5E" w14:textId="77777777" w:rsidR="00733CC4" w:rsidRDefault="00733CC4">
                        <w:pPr>
                          <w:jc w:val="center"/>
                          <w:rPr>
                            <w:rFonts w:ascii="Times New Roman" w:hAnsi="Times New Roman"/>
                            <w:b/>
                            <w:bCs/>
                            <w:szCs w:val="26"/>
                          </w:rPr>
                        </w:pPr>
                        <w:r>
                          <w:rPr>
                            <w:rFonts w:ascii="Times New Roman" w:hAnsi="Times New Roman"/>
                            <w:b/>
                            <w:bCs/>
                            <w:szCs w:val="26"/>
                          </w:rPr>
                          <w:t>TỔ CHỨC CÔNG TÁC KẾ TOÁN</w:t>
                        </w:r>
                      </w:p>
                      <w:p w14:paraId="05335278" w14:textId="77777777" w:rsidR="00733CC4" w:rsidRDefault="00733CC4">
                        <w:pPr>
                          <w:jc w:val="center"/>
                        </w:pPr>
                        <w:r>
                          <w:rPr>
                            <w:rFonts w:ascii="Times New Roman" w:hAnsi="Times New Roman"/>
                            <w:b/>
                            <w:bCs/>
                            <w:szCs w:val="26"/>
                          </w:rPr>
                          <w:t>(TCCTKT)</w:t>
                        </w:r>
                      </w:p>
                    </w:txbxContent>
                  </v:textbox>
                </v:roundrect>
                <v:group id="Group 20" o:spid="_x0000_s1028" style="position:absolute;left:29658;width:29579;height:10382" coordorigin="-2558" coordsize="29578,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Rectangle: Rounded Corners 21" o:spid="_x0000_s1029" style="position:absolute;left:-2558;width:29578;height:103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" fillcolor="white [3201]" strokecolor="black [3213]" strokeweight="1pt">
                    <v:stroke joinstyle="miter"/>
                    <v:textbox>
                      <w:txbxContent>
                        <w:p w14:paraId="2B9F86B8" w14:textId="77777777" w:rsidR="00733CC4" w:rsidRDefault="00733CC4">
                          <w:pPr>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1. MÔI TRƯỜNG THỂ CHẾ</w:t>
                          </w:r>
                        </w:p>
                      </w:txbxContent>
                    </v:textbox>
                  </v:roundrect>
                  <v:rect id="Rectangle 22" o:spid="_x0000_s1030" style="position:absolute;left:3275;top:4094;width:17330;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14:paraId="76E775F2" w14:textId="77777777" w:rsidR="00733CC4" w:rsidRDefault="00733CC4">
                          <w:pPr>
                            <w:jc w:val="center"/>
                            <w:rPr>
                              <w:rFonts w:ascii="Times New Roman" w:hAnsi="Times New Roman"/>
                              <w:szCs w:val="26"/>
                            </w:rPr>
                          </w:pPr>
                          <w:r>
                            <w:rPr>
                              <w:rFonts w:ascii="Times New Roman" w:hAnsi="Times New Roman"/>
                              <w:szCs w:val="26"/>
                            </w:rPr>
                            <w:t>Môi trường pháp lý (MTPL) –</w:t>
                          </w:r>
                          <w:r>
                            <w:rPr>
                              <w:rFonts w:ascii="Times New Roman" w:hAnsi="Times New Roman"/>
                              <w:b/>
                              <w:bCs/>
                              <w:szCs w:val="26"/>
                            </w:rPr>
                            <w:t xml:space="preserve"> H1</w:t>
                          </w:r>
                        </w:p>
                      </w:txbxContent>
                    </v:textbox>
                  </v:rect>
                </v:group>
                <v:group id="Group 24" o:spid="_x0000_s1031" style="position:absolute;top:2764;width:25654;height:43399" coordorigin=",345" coordsize="25657,3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ectangle: Rounded Corners 26" o:spid="_x0000_s1032" style="position:absolute;top:345;width:25657;height:365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" fillcolor="white [3201]" strokecolor="black [3213]" strokeweight="1pt">
                    <v:stroke joinstyle="miter"/>
                    <v:textbox>
                      <w:txbxContent>
                        <w:p w14:paraId="5153A270" w14:textId="77777777" w:rsidR="00733CC4" w:rsidRDefault="00733CC4">
                          <w:pPr>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2. ĐẶC ĐIỂM TỔ CHỨC</w:t>
                          </w:r>
                        </w:p>
                      </w:txbxContent>
                    </v:textbox>
                  </v:roundrect>
                  <v:rect id="Rectangle 27" o:spid="_x0000_s1033" style="position:absolute;left:2183;top:4230;width:20472;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textbox>
                      <w:txbxContent>
                        <w:p w14:paraId="554015AB" w14:textId="77777777" w:rsidR="00733CC4" w:rsidRDefault="00733CC4">
                          <w:pPr>
                            <w:jc w:val="center"/>
                            <w:rPr>
                              <w:rFonts w:ascii="Times New Roman" w:hAnsi="Times New Roman"/>
                              <w:szCs w:val="26"/>
                            </w:rPr>
                          </w:pPr>
                          <w:r>
                            <w:rPr>
                              <w:rFonts w:ascii="Times New Roman" w:hAnsi="Times New Roman"/>
                              <w:szCs w:val="26"/>
                            </w:rPr>
                            <w:t>Nhu cầu thông tin kế toán (NCTTKT) -</w:t>
                          </w:r>
                          <w:r>
                            <w:rPr>
                              <w:rFonts w:ascii="Times New Roman" w:hAnsi="Times New Roman"/>
                              <w:b/>
                              <w:bCs/>
                              <w:szCs w:val="26"/>
                            </w:rPr>
                            <w:t>H2</w:t>
                          </w:r>
                        </w:p>
                      </w:txbxContent>
                    </v:textbox>
                  </v:rect>
                  <v:rect id="Rectangle 28" o:spid="_x0000_s1034" style="position:absolute;left:2183;top:10235;width:20679;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textbox>
                      <w:txbxContent>
                        <w:p w14:paraId="173E0930" w14:textId="77777777" w:rsidR="00733CC4" w:rsidRDefault="00733CC4">
                          <w:pPr>
                            <w:jc w:val="center"/>
                            <w:rPr>
                              <w:rFonts w:ascii="Times New Roman" w:hAnsi="Times New Roman"/>
                              <w:szCs w:val="26"/>
                            </w:rPr>
                          </w:pPr>
                          <w:r>
                            <w:rPr>
                              <w:rFonts w:ascii="Times New Roman" w:hAnsi="Times New Roman"/>
                              <w:szCs w:val="26"/>
                            </w:rPr>
                            <w:t xml:space="preserve">Quy trình lập dự toán (QTLDT) – </w:t>
                          </w:r>
                          <w:r>
                            <w:rPr>
                              <w:rFonts w:ascii="Times New Roman" w:hAnsi="Times New Roman"/>
                              <w:b/>
                              <w:bCs/>
                              <w:szCs w:val="26"/>
                            </w:rPr>
                            <w:t>H3</w:t>
                          </w:r>
                        </w:p>
                      </w:txbxContent>
                    </v:textbox>
                  </v:rect>
                  <v:rect id="Rectangle 921180960" o:spid="_x0000_s1035" style="position:absolute;left:2183;top:16240;width:20561;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" stroked="f">
                    <v:textbox>
                      <w:txbxContent>
                        <w:p w14:paraId="2CF435A2" w14:textId="77777777" w:rsidR="00733CC4" w:rsidRDefault="00733CC4">
                          <w:pPr>
                            <w:jc w:val="center"/>
                            <w:rPr>
                              <w:rFonts w:ascii="Times New Roman" w:hAnsi="Times New Roman"/>
                              <w:szCs w:val="26"/>
                            </w:rPr>
                          </w:pPr>
                          <w:r>
                            <w:rPr>
                              <w:rFonts w:ascii="Times New Roman" w:hAnsi="Times New Roman"/>
                              <w:szCs w:val="26"/>
                            </w:rPr>
                            <w:t xml:space="preserve">Năng lực của nhân viên kế toán (NLNVKT) – </w:t>
                          </w:r>
                          <w:r>
                            <w:rPr>
                              <w:rFonts w:ascii="Times New Roman" w:hAnsi="Times New Roman"/>
                              <w:b/>
                              <w:bCs/>
                              <w:szCs w:val="26"/>
                            </w:rPr>
                            <w:t>H4</w:t>
                          </w:r>
                        </w:p>
                      </w:txbxContent>
                    </v:textbox>
                  </v:rect>
                  <v:rect id="Rectangle 921180961" o:spid="_x0000_s1036" style="position:absolute;left:2183;top:22518;width:20679;height: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" stroked="f">
                    <v:textbox>
                      <w:txbxContent>
                        <w:p w14:paraId="18E71BA5" w14:textId="77777777" w:rsidR="00733CC4" w:rsidRDefault="00733CC4">
                          <w:pPr>
                            <w:jc w:val="center"/>
                            <w:rPr>
                              <w:rFonts w:ascii="Times New Roman" w:hAnsi="Times New Roman"/>
                              <w:szCs w:val="26"/>
                            </w:rPr>
                          </w:pPr>
                          <w:r>
                            <w:rPr>
                              <w:rFonts w:ascii="Times New Roman" w:hAnsi="Times New Roman"/>
                              <w:szCs w:val="26"/>
                            </w:rPr>
                            <w:t xml:space="preserve">Nguồn tài chính đầu tư (NTCDT) – </w:t>
                          </w:r>
                          <w:r>
                            <w:rPr>
                              <w:rFonts w:ascii="Times New Roman" w:hAnsi="Times New Roman"/>
                              <w:b/>
                              <w:bCs/>
                              <w:szCs w:val="26"/>
                            </w:rPr>
                            <w:t>H5</w:t>
                          </w:r>
                        </w:p>
                      </w:txbxContent>
                    </v:textbox>
                  </v:rect>
                  <v:rect id="Rectangle 921180962" o:spid="_x0000_s1037" style="position:absolute;left:2183;top:28523;width:20561;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" stroked="f">
                    <v:textbox>
                      <w:txbxContent>
                        <w:p w14:paraId="57E4BF6E" w14:textId="77777777" w:rsidR="00733CC4" w:rsidRDefault="00733CC4">
                          <w:pPr>
                            <w:jc w:val="center"/>
                            <w:rPr>
                              <w:rFonts w:ascii="Times New Roman" w:hAnsi="Times New Roman"/>
                              <w:szCs w:val="26"/>
                            </w:rPr>
                          </w:pPr>
                          <w:r>
                            <w:rPr>
                              <w:rFonts w:ascii="Times New Roman" w:hAnsi="Times New Roman"/>
                              <w:szCs w:val="26"/>
                            </w:rPr>
                            <w:t xml:space="preserve">Quản lý rủi ro </w:t>
                          </w:r>
                        </w:p>
                        <w:p w14:paraId="7D90BBF2" w14:textId="77777777" w:rsidR="00733CC4" w:rsidRDefault="00733CC4">
                          <w:pPr>
                            <w:jc w:val="center"/>
                            <w:rPr>
                              <w:rFonts w:ascii="Times New Roman" w:hAnsi="Times New Roman"/>
                              <w:szCs w:val="26"/>
                            </w:rPr>
                          </w:pPr>
                          <w:r>
                            <w:rPr>
                              <w:rFonts w:ascii="Times New Roman" w:hAnsi="Times New Roman"/>
                              <w:szCs w:val="26"/>
                            </w:rPr>
                            <w:t>(QLRR) –</w:t>
                          </w:r>
                          <w:r>
                            <w:rPr>
                              <w:rFonts w:ascii="Times New Roman" w:hAnsi="Times New Roman"/>
                              <w:b/>
                              <w:bCs/>
                              <w:szCs w:val="26"/>
                            </w:rPr>
                            <w:t xml:space="preserve"> H6</w:t>
                          </w:r>
                        </w:p>
                      </w:txbxContent>
                    </v:textbox>
                  </v:rect>
                </v:group>
                <v:group id="Group 921180963" o:spid="_x0000_s1038" style="position:absolute;left:30090;top:35512;width:26340;height:10382" coordsize="24479,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">
                  <v:roundrect id="Rectangle: Rounded Corners 921180964" o:spid="_x0000_s1039" style="position:absolute;width:24479;height:103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" fillcolor="white [3201]" strokecolor="black [3213]" strokeweight="1pt">
                    <v:stroke joinstyle="miter"/>
                    <v:textbox>
                      <w:txbxContent>
                        <w:p w14:paraId="3E655E3D" w14:textId="77777777" w:rsidR="00733CC4" w:rsidRDefault="00733CC4">
                          <w:pPr>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3. HẠ TẦNG VÀ CÔNG NGHỆ</w:t>
                          </w:r>
                        </w:p>
                      </w:txbxContent>
                    </v:textbox>
                  </v:roundrect>
                  <v:rect id="Rectangle 921180965" o:spid="_x0000_s1040" style="position:absolute;left:3275;top:4094;width:17330;height:5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" stroked="f">
                    <v:textbox>
                      <w:txbxContent>
                        <w:p w14:paraId="2C58FE8F" w14:textId="77777777" w:rsidR="00733CC4" w:rsidRDefault="00733CC4">
                          <w:pPr>
                            <w:jc w:val="center"/>
                            <w:rPr>
                              <w:rFonts w:ascii="Times New Roman" w:hAnsi="Times New Roman"/>
                              <w:szCs w:val="26"/>
                            </w:rPr>
                          </w:pPr>
                          <w:r>
                            <w:rPr>
                              <w:rFonts w:ascii="Times New Roman" w:hAnsi="Times New Roman"/>
                              <w:szCs w:val="26"/>
                            </w:rPr>
                            <w:t xml:space="preserve">Công nghệ thông tin (PMKT) </w:t>
                          </w:r>
                          <w:r>
                            <w:rPr>
                              <w:rFonts w:ascii="Times New Roman" w:hAnsi="Times New Roman"/>
                              <w:b/>
                              <w:bCs/>
                              <w:szCs w:val="26"/>
                            </w:rPr>
                            <w:t>H7</w:t>
                          </w:r>
                        </w:p>
                      </w:txbxContent>
                    </v:textbox>
                  </v:rect>
                </v:group>
                <v:shapetype id="_x0000_t32" coordsize="21600,21600" o:spt="32" o:oned="t" path="m,l21600,21600e" filled="f">
                  <v:path arrowok="t" fillok="f" o:connecttype="none"/>
                  <o:lock v:ext="edit" shapetype="t"/>
                </v:shapetype>
                <v:shape id="Straight Arrow Connector 921180966" o:spid="_x0000_s1041" type="#_x0000_t32" style="position:absolute;left:25624;top:9994;width:14743;height:9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" strokecolor="black [3213]" strokeweight="1pt">
                  <v:stroke endarrow="block" joinstyle="miter"/>
                </v:shape>
                <v:shape id="Straight Arrow Connector 921180967" o:spid="_x0000_s1042" type="#_x0000_t32" style="position:absolute;left:25624;top:17118;width:14470;height:3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" strokecolor="black [3213]" strokeweight="1pt">
                  <v:stroke endarrow="block" joinstyle="miter"/>
                </v:shape>
                <v:shape id="Straight Arrow Connector 921180968" o:spid="_x0000_s1043" type="#_x0000_t32" style="position:absolute;left:25518;top:22177;width:14598;height:152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" strokecolor="black [3213]" strokeweight="1pt">
                  <v:stroke endarrow="block" joinstyle="miter"/>
                </v:shape>
                <v:shape id="Straight Arrow Connector 921180969" o:spid="_x0000_s1044" type="#_x0000_t32" style="position:absolute;left:25730;top:21646;width:13785;height:86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" strokecolor="black [3213]" strokeweight="1pt">
                  <v:stroke endarrow="block" joinstyle="miter"/>
                </v:shape>
                <v:shape id="Straight Arrow Connector 921180970" o:spid="_x0000_s1045" type="#_x0000_t32" style="position:absolute;left:25624;top:21092;width:14194;height:2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" strokecolor="black [3213]" strokeweight="1pt">
                  <v:stroke endarrow="block" joinstyle="miter"/>
                </v:shape>
                <v:shape id="Straight Arrow Connector 921180971" o:spid="_x0000_s1046" type="#_x0000_t32" style="position:absolute;left:47226;top:27281;width:0;height:81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" strokecolor="black [3213]" strokeweight="1pt">
                  <v:stroke endarrow="block" joinstyle="miter"/>
                </v:shape>
                <v:shape id="Straight Arrow Connector 921180972" o:spid="_x0000_s1047" type="#_x0000_t32" style="position:absolute;left:46800;top:10419;width:0;height:56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" strokecolor="black [3213]" strokeweight="1pt">
                  <v:stroke endarrow="block" joinstyle="miter"/>
                </v:shape>
                <w10:wrap anchorx="page"/>
              </v:group>
            </w:pict>
          </mc:Fallback>
        </mc:AlternateContent>
      </w:r>
    </w:p>
    <w:p w14:paraId="56429C7E"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547A7D31"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7A219E75"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76C8F0A7"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15C52424"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47083B17"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21CFBC2C"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39729D28"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7D03D1B5"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16910637"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54A83064"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bookmarkEnd w:id="62"/>
    <w:p w14:paraId="53553FF2"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08831C08" w14:textId="77777777" w:rsidR="00342633" w:rsidRPr="00050474" w:rsidRDefault="00342633">
      <w:pPr>
        <w:spacing w:after="120" w:line="360" w:lineRule="auto"/>
        <w:ind w:firstLine="567"/>
        <w:jc w:val="both"/>
        <w:rPr>
          <w:rFonts w:ascii="Times New Roman" w:hAnsi="Times New Roman" w:cs="Times New Roman"/>
          <w:color w:val="000000" w:themeColor="text1"/>
          <w:szCs w:val="26"/>
          <w:lang w:val="vi-VN"/>
        </w:rPr>
      </w:pPr>
    </w:p>
    <w:p w14:paraId="28D70EB6" w14:textId="77777777" w:rsidR="00342633" w:rsidRPr="00050474" w:rsidRDefault="0051710A">
      <w:pPr>
        <w:spacing w:line="360" w:lineRule="auto"/>
        <w:ind w:firstLine="709"/>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noProof/>
          <w:color w:val="000000" w:themeColor="text1"/>
          <w:szCs w:val="26"/>
        </w:rPr>
        <mc:AlternateContent>
          <mc:Choice Requires="wps">
            <w:drawing>
              <wp:inline distT="0" distB="0" distL="0" distR="0" wp14:anchorId="58364715" wp14:editId="3551DC9A">
                <wp:extent cx="5568950" cy="344170"/>
                <wp:effectExtent l="0" t="0" r="0" b="0"/>
                <wp:docPr id="762233618" name="Rectangle 762233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9528" cy="344385"/>
                        </a:xfrm>
                        <a:prstGeom prst="rect">
                          <a:avLst/>
                        </a:prstGeom>
                        <a:solidFill>
                          <a:srgbClr val="FFFFFF"/>
                        </a:solidFill>
                        <a:ln>
                          <a:noFill/>
                        </a:ln>
                      </wps:spPr>
                      <wps:txbx>
                        <w:txbxContent>
                          <w:p w14:paraId="15042AC1" w14:textId="77777777" w:rsidR="00733CC4" w:rsidRDefault="00733CC4">
                            <w:pPr>
                              <w:pStyle w:val="Heading5"/>
                              <w:jc w:val="center"/>
                              <w:rPr>
                                <w:rFonts w:ascii="Times New Roman" w:hAnsi="Times New Roman"/>
                                <w:b w:val="0"/>
                                <w:bCs w:val="0"/>
                                <w:i/>
                                <w:iCs/>
                                <w:sz w:val="26"/>
                                <w:szCs w:val="26"/>
                              </w:rPr>
                            </w:pPr>
                            <w:bookmarkStart w:id="66" w:name="_Toc210725592"/>
                            <w:bookmarkStart w:id="67" w:name="_Toc229148238"/>
                            <w:bookmarkStart w:id="68" w:name="_Toc222669353"/>
                            <w:bookmarkStart w:id="69" w:name="_Toc210569568"/>
                            <w:bookmarkStart w:id="70" w:name="_Toc210724134"/>
                            <w:bookmarkStart w:id="71" w:name="_Toc205557877"/>
                            <w:bookmarkStart w:id="72" w:name="_Toc218532137"/>
                            <w:bookmarkStart w:id="73" w:name="_Toc210725406"/>
                            <w:r>
                              <w:rPr>
                                <w:rFonts w:ascii="Times New Roman" w:hAnsi="Times New Roman"/>
                                <w:b w:val="0"/>
                                <w:bCs w:val="0"/>
                                <w:i/>
                                <w:iCs/>
                                <w:sz w:val="26"/>
                                <w:szCs w:val="26"/>
                              </w:rPr>
                              <w:t>Hình 1: Mô hình nghiên cứu tác giả đề xuất</w:t>
                            </w:r>
                            <w:bookmarkEnd w:id="66"/>
                            <w:bookmarkEnd w:id="67"/>
                            <w:bookmarkEnd w:id="68"/>
                            <w:bookmarkEnd w:id="69"/>
                            <w:bookmarkEnd w:id="70"/>
                            <w:bookmarkEnd w:id="71"/>
                            <w:bookmarkEnd w:id="72"/>
                            <w:bookmarkEnd w:id="73"/>
                          </w:p>
                        </w:txbxContent>
                      </wps:txbx>
                      <wps:bodyPr rot="0" vert="horz" wrap="square" lIns="91440" tIns="45720" rIns="91440" bIns="45720" anchor="t" anchorCtr="0" upright="1">
                        <a:noAutofit/>
                      </wps:bodyPr>
                    </wps:wsp>
                  </a:graphicData>
                </a:graphic>
              </wp:inline>
            </w:drawing>
          </mc:Choice>
          <mc:Fallback xmlns:w16="http://schemas.microsoft.com/office/word/2018/wordml" xmlns:w16cex="http://schemas.microsoft.com/office/word/2018/wordml/cex">
            <w:pict>
              <v:rect w14:anchorId="58364715" id="Rectangle 762233618" o:spid="_x0000_s1048" style="width:438.5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" stroked="f">
                <v:textbox>
                  <w:txbxContent>
                    <w:p w14:paraId="15042AC1" w14:textId="77777777" w:rsidR="00733CC4" w:rsidRDefault="00733CC4">
                      <w:pPr>
                        <w:pStyle w:val="Heading5"/>
                        <w:jc w:val="center"/>
                        <w:rPr>
                          <w:rFonts w:ascii="Times New Roman" w:hAnsi="Times New Roman"/>
                          <w:b w:val="0"/>
                          <w:bCs w:val="0"/>
                          <w:i/>
                          <w:iCs/>
                          <w:sz w:val="26"/>
                          <w:szCs w:val="26"/>
                        </w:rPr>
                      </w:pPr>
                      <w:bookmarkStart w:id="218" w:name="_Toc210725592"/>
                      <w:bookmarkStart w:id="219" w:name="_Toc229148238"/>
                      <w:bookmarkStart w:id="220" w:name="_Toc222669353"/>
                      <w:bookmarkStart w:id="221" w:name="_Toc210569568"/>
                      <w:bookmarkStart w:id="222" w:name="_Toc210724134"/>
                      <w:bookmarkStart w:id="223" w:name="_Toc205557877"/>
                      <w:bookmarkStart w:id="224" w:name="_Toc218532137"/>
                      <w:bookmarkStart w:id="225" w:name="_Toc210725406"/>
                      <w:r>
                        <w:rPr>
                          <w:rFonts w:ascii="Times New Roman" w:hAnsi="Times New Roman"/>
                          <w:b w:val="0"/>
                          <w:bCs w:val="0"/>
                          <w:i/>
                          <w:iCs/>
                          <w:sz w:val="26"/>
                          <w:szCs w:val="26"/>
                        </w:rPr>
                        <w:t>Hình 1: Mô hình nghiên cứu tác giả đề xuất</w:t>
                      </w:r>
                      <w:bookmarkEnd w:id="218"/>
                      <w:bookmarkEnd w:id="219"/>
                      <w:bookmarkEnd w:id="220"/>
                      <w:bookmarkEnd w:id="221"/>
                      <w:bookmarkEnd w:id="222"/>
                      <w:bookmarkEnd w:id="223"/>
                      <w:bookmarkEnd w:id="224"/>
                      <w:bookmarkEnd w:id="225"/>
                    </w:p>
                  </w:txbxContent>
                </v:textbox>
                <w10:anchorlock/>
              </v:rect>
            </w:pict>
          </mc:Fallback>
        </mc:AlternateContent>
      </w:r>
    </w:p>
    <w:p w14:paraId="3553CC77" w14:textId="77777777" w:rsidR="00EA4EDB" w:rsidRPr="00050474" w:rsidRDefault="00EA4EDB">
      <w:pPr>
        <w:pStyle w:val="Heading1"/>
        <w:spacing w:before="0" w:after="0" w:line="360" w:lineRule="auto"/>
        <w:ind w:left="0" w:firstLine="0"/>
        <w:jc w:val="center"/>
        <w:rPr>
          <w:color w:val="000000" w:themeColor="text1"/>
          <w:sz w:val="26"/>
          <w:szCs w:val="26"/>
          <w:lang w:eastAsia="vi-VN"/>
        </w:rPr>
      </w:pPr>
      <w:bookmarkStart w:id="74" w:name="_Toc216648175"/>
    </w:p>
    <w:p w14:paraId="18E75E45" w14:textId="77777777" w:rsidR="00983A9B" w:rsidRPr="00050474" w:rsidRDefault="00983A9B">
      <w:pPr>
        <w:rPr>
          <w:rFonts w:ascii="Times New Roman" w:hAnsi="Times New Roman" w:cs="Times New Roman"/>
          <w:b/>
          <w:bCs/>
          <w:color w:val="000000" w:themeColor="text1"/>
          <w:kern w:val="32"/>
          <w:szCs w:val="26"/>
          <w:lang w:eastAsia="vi-VN"/>
        </w:rPr>
      </w:pPr>
      <w:r w:rsidRPr="00050474">
        <w:rPr>
          <w:color w:val="000000" w:themeColor="text1"/>
          <w:szCs w:val="26"/>
          <w:lang w:eastAsia="vi-VN"/>
        </w:rPr>
        <w:br w:type="page"/>
      </w:r>
    </w:p>
    <w:p w14:paraId="23012351" w14:textId="49FFB73D" w:rsidR="00342633" w:rsidRPr="00050474" w:rsidRDefault="0051710A">
      <w:pPr>
        <w:pStyle w:val="Heading1"/>
        <w:spacing w:before="0" w:after="0" w:line="360" w:lineRule="auto"/>
        <w:ind w:left="0" w:firstLine="0"/>
        <w:jc w:val="center"/>
        <w:rPr>
          <w:color w:val="000000" w:themeColor="text1"/>
          <w:sz w:val="26"/>
          <w:szCs w:val="26"/>
          <w:lang w:val="vi-VN"/>
        </w:rPr>
      </w:pPr>
      <w:r w:rsidRPr="00050474">
        <w:rPr>
          <w:color w:val="000000" w:themeColor="text1"/>
          <w:sz w:val="26"/>
          <w:szCs w:val="26"/>
          <w:lang w:eastAsia="vi-VN"/>
        </w:rPr>
        <w:lastRenderedPageBreak/>
        <w:t xml:space="preserve">CHƯƠNG 1. </w:t>
      </w:r>
      <w:bookmarkStart w:id="75" w:name="_Toc231725652"/>
      <w:bookmarkStart w:id="76" w:name="_Toc229148243"/>
      <w:bookmarkStart w:id="77" w:name="_Toc210724137"/>
      <w:bookmarkEnd w:id="74"/>
      <w:r w:rsidR="00F11F16" w:rsidRPr="00050474">
        <w:rPr>
          <w:noProof/>
          <w:color w:val="000000" w:themeColor="text1"/>
          <w:sz w:val="26"/>
          <w:szCs w:val="26"/>
        </w:rPr>
        <w:t xml:space="preserve">TỔNG QUAN NGHIÊN CỨU, </w:t>
      </w:r>
      <w:r w:rsidR="00F11F16" w:rsidRPr="00050474">
        <w:rPr>
          <w:noProof/>
          <w:color w:val="000000" w:themeColor="text1"/>
          <w:sz w:val="26"/>
          <w:szCs w:val="26"/>
          <w:lang w:val="vi-VN"/>
        </w:rPr>
        <w:t>CƠ SỞ LÝ LUẬN</w:t>
      </w:r>
      <w:r w:rsidR="00F11F16" w:rsidRPr="00050474">
        <w:rPr>
          <w:noProof/>
          <w:color w:val="000000" w:themeColor="text1"/>
          <w:sz w:val="26"/>
          <w:szCs w:val="26"/>
        </w:rPr>
        <w:t xml:space="preserve"> VÀ THỰC TIỄN</w:t>
      </w:r>
      <w:r w:rsidR="00F11F16" w:rsidRPr="00050474">
        <w:rPr>
          <w:noProof/>
          <w:color w:val="000000" w:themeColor="text1"/>
          <w:sz w:val="26"/>
          <w:szCs w:val="26"/>
          <w:lang w:val="vi-VN"/>
        </w:rPr>
        <w:t xml:space="preserve"> VỀ TỔ CHỨC CÔNG TÁC KẾ TOÁN TẠI ĐƠN VỊ SỰ NGHIỆP CÔNG LẬP</w:t>
      </w:r>
      <w:bookmarkEnd w:id="75"/>
      <w:bookmarkEnd w:id="76"/>
      <w:bookmarkEnd w:id="77"/>
    </w:p>
    <w:p w14:paraId="7DB4AC3E" w14:textId="77777777" w:rsidR="00342633" w:rsidRPr="00050474" w:rsidRDefault="0051710A">
      <w:pPr>
        <w:pStyle w:val="Heading1"/>
        <w:spacing w:before="0" w:after="0" w:line="360" w:lineRule="auto"/>
        <w:rPr>
          <w:color w:val="000000" w:themeColor="text1"/>
          <w:sz w:val="26"/>
          <w:szCs w:val="26"/>
          <w:lang w:val="vi-VN"/>
        </w:rPr>
      </w:pPr>
      <w:bookmarkStart w:id="78" w:name="_Toc210724138"/>
      <w:bookmarkStart w:id="79" w:name="_Toc229148244"/>
      <w:r w:rsidRPr="00050474">
        <w:rPr>
          <w:color w:val="000000" w:themeColor="text1"/>
          <w:sz w:val="26"/>
          <w:szCs w:val="26"/>
          <w:lang w:val="vi-VN"/>
        </w:rPr>
        <w:t>1.1. Tổng quan về tổ chức công tác kế toán đơn vị sự nghiệp công lập</w:t>
      </w:r>
      <w:bookmarkEnd w:id="78"/>
      <w:bookmarkEnd w:id="79"/>
    </w:p>
    <w:p w14:paraId="1740D437" w14:textId="77777777" w:rsidR="00342633" w:rsidRPr="00050474" w:rsidRDefault="0051710A">
      <w:pPr>
        <w:pStyle w:val="Heading2"/>
        <w:spacing w:before="0" w:after="0" w:line="360" w:lineRule="auto"/>
        <w:rPr>
          <w:color w:val="000000" w:themeColor="text1"/>
          <w:szCs w:val="26"/>
          <w:lang w:val="vi-VN"/>
        </w:rPr>
      </w:pPr>
      <w:bookmarkStart w:id="80" w:name="_Toc229148245"/>
      <w:bookmarkStart w:id="81" w:name="_Toc210724139"/>
      <w:r w:rsidRPr="00050474">
        <w:rPr>
          <w:color w:val="000000" w:themeColor="text1"/>
          <w:szCs w:val="26"/>
          <w:lang w:val="vi-VN"/>
        </w:rPr>
        <w:t>1.1.1. Khái niệm đơn vị sự nghiệp công lập</w:t>
      </w:r>
      <w:bookmarkEnd w:id="80"/>
      <w:bookmarkEnd w:id="81"/>
      <w:r w:rsidRPr="00050474">
        <w:rPr>
          <w:color w:val="000000" w:themeColor="text1"/>
          <w:szCs w:val="26"/>
          <w:lang w:val="vi-VN"/>
        </w:rPr>
        <w:t xml:space="preserve"> </w:t>
      </w:r>
    </w:p>
    <w:p w14:paraId="5AB33B1A"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bookmarkStart w:id="82" w:name="_Hlk210424408"/>
      <w:r w:rsidRPr="00050474">
        <w:rPr>
          <w:rFonts w:ascii="Times New Roman" w:hAnsi="Times New Roman" w:cs="Times New Roman"/>
          <w:color w:val="000000" w:themeColor="text1"/>
          <w:szCs w:val="26"/>
          <w:lang w:val="vi-VN"/>
        </w:rPr>
        <w:t>Trên bình diện quốc tế, các nhà nghiên cứu và các tổ chức ban hành chuẩn mực như Ủy ban Chuẩn mực Kế toán Công Quốc tế (IPSASB) không định nghĩa "đơn vị sự nghiệp công lập" bằng một thuật ngữ duy nhất, mà xem xét như một phạm trù rộng hơn là "các đơn vị thuộc khu vực công"(IPSASB, 2021). Quan điểm chung xác định các đơn vị này dựa trên bản chất hoạt động và mục tiêu cốt lõi, thay vì chỉ dựa vào tư cách pháp lý. Theo đó, một đơn vị được xem là thuộc khu vực công khi nó có trách nhiệm chính là cung cấp hàng hóa, dịch vụ vì lợi ích cộng đồng, hoạt động không vì mục tiêu lợi nhuận và có nguồn tài chính chủ yếu từ ngân sách nhà nước thông qua thuế, phí, hoặc các khoản chuyển giao (Barton, 2009). Trọng tâm của quản trị và báo cáo tài chính đối với các đơn vị này không phải là tối đa hóa lợi nhuận cho cổ đông, mà là trách nhiệm giải trình về việc sử dụng các nguồn lực công và hiệu quả trong việc thực hiện các mục tiêu xã hội được giao. Trách nhiệm giải trình còn được thể hiện thông qua tính bền vững thông qua khả năng các đơn vị khu vực công có tiếp tục cung cấp dịch vụ trong tương lai hay không (Chan, 2003).</w:t>
      </w:r>
    </w:p>
    <w:p w14:paraId="28EF3BA0" w14:textId="77777777"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Quan điểm của Chuẩn mực Kế toán Công Quốc tế (IPSAS 6, IPSAS 22) làm rõ rằng, các đơn vị thuộc lĩnh vực công được xác định dựa trên hai yếu tố chính: sự kiểm soát của Chính phủ và mục tiêu hoạt động phi thương mại. Khung chuẩn mực này bao gồm tất cả các cơ quan quản lý và đơn vị dịch vụ công do Chính phủ kiểm soát, nhưng loại trừ các doanh nghiệp nhà nước có mục tiêu kinh doanh. Đặc trưng của các đơn vị công này là sự tồn tại và vận hành liên tục dựa vào nguồn tài trợ công, bất kể là từ ngân sách hay các nguồn khác. Theo nhận định của tác giả, cách định nghĩa mang tính bao quát, gắn liền với bản chất kiểm soát và nguồn tài trợ này rất phù hợp với thực tiễn quản lý và phát triển kinh tế-xã hội ở Việt Nam.</w:t>
      </w:r>
    </w:p>
    <w:p w14:paraId="7CCF212B" w14:textId="062957DB" w:rsidR="00342633" w:rsidRPr="00050474" w:rsidRDefault="00017334">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noProof/>
          <w:color w:val="000000" w:themeColor="text1"/>
          <w:szCs w:val="26"/>
          <w:lang w:val="vi-VN"/>
        </w:rPr>
        <w:t>Chế độ kế toán hành chính, sự nghiệp không định nghĩa trực tiếp ĐVSNCL mà xác định rõ đối tượng áp dụng. Theo đó, ĐVSNCL là một trong những đối tượng phải áp dụng Chế độ kế toán hành chính, sự nghiệp. Tuy nhiên, Thông tư số 24/2024/TT-BTC cũng có những quy định loại trừ đối với một số ĐVSNCL đã được cơ quan có thẩm quyền cho phép áp dụng chế độ kế toán doanh nghiệp (trường hợp tự bảo đảm chi thường xuyên và chi đầu tư).</w:t>
      </w:r>
      <w:r w:rsidR="0051710A" w:rsidRPr="00050474">
        <w:rPr>
          <w:rFonts w:ascii="Times New Roman" w:hAnsi="Times New Roman" w:cs="Times New Roman"/>
          <w:color w:val="000000" w:themeColor="text1"/>
          <w:szCs w:val="26"/>
          <w:lang w:val="vi-VN"/>
        </w:rPr>
        <w:t xml:space="preserve"> Điều này cho thấy, từ góc độ kế toán, ĐVSNCL là một đơn vị kế </w:t>
      </w:r>
      <w:r w:rsidR="0051710A" w:rsidRPr="00050474">
        <w:rPr>
          <w:rFonts w:ascii="Times New Roman" w:hAnsi="Times New Roman" w:cs="Times New Roman"/>
          <w:color w:val="000000" w:themeColor="text1"/>
          <w:szCs w:val="26"/>
          <w:lang w:val="vi-VN"/>
        </w:rPr>
        <w:lastRenderedPageBreak/>
        <w:t>toán đặc thù, chịu sự điều chỉnh của một hệ thống tài khoản và quy trình riêng biệt, phản ánh đặc điểm nguồn kinh phí từ ngân sách nhà nước, các khoản viện trợ và hoạt động sự nghiệp.</w:t>
      </w:r>
    </w:p>
    <w:p w14:paraId="313869BB"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Từ việc tổng hợp các quan điểm trên, có thể nhận thấy ĐVSNCL không chỉ được định nghĩa bởi tư cách pháp lý (tổ chức do Nhà nước thành lập) mà còn bởi bản chất hoạt động (cung cấp dịch vụ công, phục vụ quản lý nhà nước), mục tiêu phi lợi nhuận, nguồn tài chính đa dạng và cơ chế quản lý tài chính đặc thù.</w:t>
      </w:r>
    </w:p>
    <w:p w14:paraId="5C3CEF31" w14:textId="2C83EF12"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Vì vậy, luận án này sử dụng một khái niệm tổng hợp, kết nối các khía cạnh pháp lý và thực tiễn để phù hợp với bối cảnh nghiên cứu: "Đơn vị sự nghiệp công lập là một tổ chức do cơ quan nhà nước có thẩm quyền thành lập, có tư cách pháp nhân, hoạt động trong các lĩnh vực chuyên môn cụ thể nhằm cung cấp dịch vụ công và phục vụ công tác quản lý nhà nước. Về mặt tài chính, ĐVSNCL hoạt động theo cơ chế tự chủ tài chính được quy định tại Nghị định số 60/2021/NĐ-CP và Nghị định 111/2025/NĐ-CP, với nguồn kinh phí chủ yếu đến từ ngân sách nhà nước và các nguồn thu sự nghiệp khác. </w:t>
      </w:r>
      <w:r w:rsidR="002420DF" w:rsidRPr="00050474">
        <w:rPr>
          <w:rFonts w:ascii="Times New Roman" w:hAnsi="Times New Roman" w:cs="Times New Roman"/>
          <w:noProof/>
          <w:color w:val="000000" w:themeColor="text1"/>
          <w:szCs w:val="26"/>
          <w:lang w:val="vi-VN"/>
        </w:rPr>
        <w:t>Về mặt kế toán, đơn vị là một đối tượng kế toán đặc thù chịu sự điều chỉnh của Chế độ kế toán hành chính, sự nghiệp theo Thông tư số 24/2024/TT-BTC</w:t>
      </w:r>
      <w:r w:rsidR="002420DF" w:rsidRPr="00050474">
        <w:rPr>
          <w:rFonts w:ascii="Times New Roman" w:hAnsi="Times New Roman" w:cs="Times New Roman"/>
          <w:color w:val="000000" w:themeColor="text1"/>
          <w:szCs w:val="26"/>
          <w:lang w:val="vi-VN"/>
        </w:rPr>
        <w:t xml:space="preserve"> về chế độ kế toán hành chính, sự nghiệp</w:t>
      </w:r>
      <w:r w:rsidRPr="00050474">
        <w:rPr>
          <w:rFonts w:ascii="Times New Roman" w:hAnsi="Times New Roman" w:cs="Times New Roman"/>
          <w:color w:val="000000" w:themeColor="text1"/>
          <w:szCs w:val="26"/>
          <w:lang w:val="vi-VN"/>
        </w:rPr>
        <w:t>, có trách nhiệm hạch toán, báo cáo tài chính một cách minh bạch, phục vụ mục tiêu quản lý và kiểm soát của Nhà nước."</w:t>
      </w:r>
    </w:p>
    <w:p w14:paraId="28B116D9" w14:textId="77777777" w:rsidR="00342633" w:rsidRPr="00050474" w:rsidRDefault="0051710A">
      <w:pPr>
        <w:pStyle w:val="Heading2"/>
        <w:spacing w:before="0"/>
        <w:ind w:left="0" w:firstLine="0"/>
        <w:rPr>
          <w:rStyle w:val="Heading1Char"/>
          <w:b/>
          <w:color w:val="000000" w:themeColor="text1"/>
          <w:sz w:val="26"/>
          <w:szCs w:val="26"/>
          <w:lang w:val="vi-VN"/>
        </w:rPr>
      </w:pPr>
      <w:bookmarkStart w:id="83" w:name="_Toc210724140"/>
      <w:r w:rsidRPr="00050474">
        <w:rPr>
          <w:rStyle w:val="Heading1Char"/>
          <w:b/>
          <w:color w:val="000000" w:themeColor="text1"/>
          <w:sz w:val="26"/>
          <w:szCs w:val="26"/>
          <w:lang w:val="vi-VN"/>
        </w:rPr>
        <w:t xml:space="preserve">1.1.2 </w:t>
      </w:r>
      <w:r w:rsidRPr="00050474">
        <w:rPr>
          <w:color w:val="000000" w:themeColor="text1"/>
          <w:szCs w:val="26"/>
          <w:lang w:val="vi-VN"/>
        </w:rPr>
        <w:t>Phân loại đơn vị sự nghiệp công lập</w:t>
      </w:r>
    </w:p>
    <w:p w14:paraId="2CC659D3" w14:textId="77777777" w:rsidR="00342633" w:rsidRPr="00050474" w:rsidRDefault="0051710A">
      <w:pPr>
        <w:pStyle w:val="Heading3"/>
        <w:spacing w:before="0" w:after="0" w:line="360" w:lineRule="auto"/>
        <w:ind w:left="0" w:firstLineChars="200" w:firstLine="520"/>
        <w:rPr>
          <w:b w:val="0"/>
          <w:bCs w:val="0"/>
          <w:i/>
          <w:iCs/>
          <w:color w:val="000000" w:themeColor="text1"/>
          <w:szCs w:val="26"/>
          <w:lang w:val="vi-VN"/>
        </w:rPr>
      </w:pPr>
      <w:bookmarkStart w:id="84" w:name="_Toc205557887"/>
      <w:bookmarkStart w:id="85" w:name="_Toc229148247"/>
      <w:r w:rsidRPr="00050474">
        <w:rPr>
          <w:b w:val="0"/>
          <w:bCs w:val="0"/>
          <w:i/>
          <w:iCs/>
          <w:color w:val="000000" w:themeColor="text1"/>
          <w:szCs w:val="26"/>
          <w:lang w:val="vi-VN"/>
        </w:rPr>
        <w:t>1.1.2.1 Phân loại theo quy định về mã số đơn vị có quan hệ với ngân sách</w:t>
      </w:r>
      <w:bookmarkEnd w:id="84"/>
      <w:bookmarkEnd w:id="85"/>
    </w:p>
    <w:p w14:paraId="5070C912" w14:textId="77777777"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t>Theo Thông tư số 185/2015/TT-BTC ngày 17/11/2015, ĐVSNCL được quản lý và phân loại thông qua việc cấp mã số đơn vị có quan hệ với ngân sách (sau đây gọi tắt là mã số ĐVQHNS). Mã số này là một chuỗi ký tự duy nhất được cấp cho các đơn vị có giao dịch với ngân sách nhà nước, bao gồm cả ĐVSNCL (Bộ Tài chính, 2015).</w:t>
      </w:r>
    </w:p>
    <w:p w14:paraId="11DE9414" w14:textId="77777777" w:rsidR="00342633" w:rsidRPr="00050474" w:rsidRDefault="0051710A">
      <w:pPr>
        <w:spacing w:line="360" w:lineRule="auto"/>
        <w:ind w:firstLine="567"/>
        <w:jc w:val="both"/>
        <w:rPr>
          <w:rFonts w:asciiTheme="minorHAnsi" w:eastAsiaTheme="minorHAnsi" w:hAnsiTheme="minorHAnsi" w:cstheme="minorBidi"/>
          <w:color w:val="000000" w:themeColor="text1"/>
          <w:sz w:val="22"/>
          <w:szCs w:val="26"/>
          <w:lang w:val="vi-VN"/>
        </w:rPr>
      </w:pPr>
      <w:r w:rsidRPr="00050474">
        <w:rPr>
          <w:rFonts w:ascii="Times New Roman" w:hAnsi="Times New Roman" w:cs="Times New Roman"/>
          <w:bCs/>
          <w:color w:val="000000" w:themeColor="text1"/>
          <w:szCs w:val="26"/>
          <w:lang w:val="vi-VN"/>
        </w:rPr>
        <w:t xml:space="preserve">Mục đích chính của việc cấp mã số ĐVQHNS là để đơn vị chủ quản và các cơ quan quản lý tài chính (như Kho bạc Nhà nước) có thể dễ dàng quản lý, giám sát các khoản thu, chi ngân sách của từng đơn vị một cách thống nhất trên toàn quốc. Ngoài ra, Mã số ĐVQHNS là cơ sở để tổng hợp các báo cáo tài chính, báo cáo quyết toán ngân sách, phục vụ công tác thống kê, phân tích và hoạch định chính sách tài chính vĩ mô. Hơn nữa, ĐVSNCL được phân loại dựa trên mối quan hệ với ngân sách và vai trò trong hệ thống quản lý tài chính nhà nước. Mặc dù Thông tư 185/2015/TT-BTC không trực tiếp phân loại theo nhóm, nhưng việc cấp mã số đã gián tiếp phân định các ĐVSNCL </w:t>
      </w:r>
      <w:r w:rsidRPr="00050474">
        <w:rPr>
          <w:rFonts w:ascii="Times New Roman" w:hAnsi="Times New Roman" w:cs="Times New Roman"/>
          <w:bCs/>
          <w:color w:val="000000" w:themeColor="text1"/>
          <w:szCs w:val="26"/>
          <w:lang w:val="vi-VN"/>
        </w:rPr>
        <w:lastRenderedPageBreak/>
        <w:t>thành các nhóm dựa trên cơ quan quản lý và lĩnh vực hoạt động. Cụ thể, mã số ĐVQHNS bao gồm các ký tự cho phép xác định cơ quan cấp trên, địa bàn hành chính, và loại hình đơn vị, tạo nền tảng cho việc phân tích và tổng hợp dữ liệu tài chính của từng nhóm đơn vị.</w:t>
      </w:r>
      <w:bookmarkStart w:id="86" w:name="_Toc205557888"/>
    </w:p>
    <w:p w14:paraId="22E38342" w14:textId="77777777" w:rsidR="00342633" w:rsidRPr="00050474" w:rsidRDefault="0051710A">
      <w:pPr>
        <w:pStyle w:val="Heading3"/>
        <w:ind w:left="0" w:firstLineChars="200" w:firstLine="520"/>
        <w:rPr>
          <w:b w:val="0"/>
          <w:bCs w:val="0"/>
          <w:i/>
          <w:iCs/>
          <w:color w:val="000000" w:themeColor="text1"/>
          <w:szCs w:val="26"/>
          <w:lang w:val="vi-VN"/>
        </w:rPr>
      </w:pPr>
      <w:bookmarkStart w:id="87" w:name="_Toc229148248"/>
      <w:r w:rsidRPr="00050474">
        <w:rPr>
          <w:b w:val="0"/>
          <w:bCs w:val="0"/>
          <w:i/>
          <w:iCs/>
          <w:color w:val="000000" w:themeColor="text1"/>
          <w:szCs w:val="26"/>
          <w:lang w:val="vi-VN"/>
        </w:rPr>
        <w:t>1.1.2.2. Phân loại theo quy định về quyền tự chủ tài chính</w:t>
      </w:r>
      <w:bookmarkEnd w:id="86"/>
      <w:bookmarkEnd w:id="87"/>
    </w:p>
    <w:p w14:paraId="0D2F331A" w14:textId="77777777"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t>Cơ chế tự chủ tài chính là một trong những nội dung cốt lõi của cải cách tài chính công, nhằm tăng cường tính chủ động, hiệu quả và trách nhiệm giải trình của các ĐVSNCL. Văn bản nền tảng về vấn đề này là Nghị định số 60/2021/NĐ-CP và mới nhất là Nghị định số 111/2025/NĐ-CP đã sửa đổi, bổ sung một số điều của Nghị định 60/2021/NĐ-CP (Chính phủ, 2025).</w:t>
      </w:r>
    </w:p>
    <w:p w14:paraId="66C821CB" w14:textId="77777777"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t>Theo các quy định này, ĐVSNCL được phân thành bốn nhóm chính, dựa trên khả năng tự đảm bảo chi phí hoạt động thường xuyên và chi đầu tư:</w:t>
      </w:r>
    </w:p>
    <w:p w14:paraId="26C54F2D" w14:textId="77777777"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sym w:font="Wingdings 2" w:char="F050"/>
      </w:r>
      <w:r w:rsidRPr="00050474">
        <w:rPr>
          <w:rFonts w:ascii="Times New Roman" w:hAnsi="Times New Roman" w:cs="Times New Roman"/>
          <w:bCs/>
          <w:color w:val="000000" w:themeColor="text1"/>
          <w:szCs w:val="26"/>
          <w:lang w:val="vi-VN"/>
        </w:rPr>
        <w:t xml:space="preserve"> Nhóm 1: Đơn vị tự bảo đảm chi thường xuyên và chi đầu tư. Nhóm này có mức độ tự chủ cao nhất, được quyết định nhiều hơn về hoạt động tài chính và chịu trách nhiệm hoàn toàn về các khoản chi phí của mình.</w:t>
      </w:r>
    </w:p>
    <w:p w14:paraId="7A7B306F" w14:textId="77777777"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sym w:font="Wingdings 2" w:char="F050"/>
      </w:r>
      <w:r w:rsidRPr="00050474">
        <w:rPr>
          <w:rFonts w:ascii="Times New Roman" w:hAnsi="Times New Roman" w:cs="Times New Roman"/>
          <w:bCs/>
          <w:color w:val="000000" w:themeColor="text1"/>
          <w:szCs w:val="26"/>
          <w:lang w:val="vi-VN"/>
        </w:rPr>
        <w:t xml:space="preserve"> Nhóm 2: Đơn vị tự bảo đảm chi thường xuyên. Các đơn vị này tự chủ được chi phí hoạt động thường xuyên nhưng vẫn nhận hỗ trợ chi đầu tư từ ngân sách nhà nước.</w:t>
      </w:r>
    </w:p>
    <w:p w14:paraId="62FE1047" w14:textId="77777777"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sym w:font="Wingdings 2" w:char="F050"/>
      </w:r>
      <w:r w:rsidRPr="00050474">
        <w:rPr>
          <w:rFonts w:ascii="Times New Roman" w:hAnsi="Times New Roman" w:cs="Times New Roman"/>
          <w:bCs/>
          <w:color w:val="000000" w:themeColor="text1"/>
          <w:szCs w:val="26"/>
          <w:lang w:val="vi-VN"/>
        </w:rPr>
        <w:t xml:space="preserve"> Nhóm 3: Đơn vị tự bảo đảm một phần chi thường xuyên. Nhóm này được nhận hỗ trợ từ ngân sách nhà nước cho một phần chi phí hoạt động thường xuyên, và toàn bộ chi phí đầu tư.</w:t>
      </w:r>
    </w:p>
    <w:p w14:paraId="47C35AAB" w14:textId="77777777" w:rsidR="00342633" w:rsidRPr="00050474" w:rsidRDefault="0051710A">
      <w:pPr>
        <w:spacing w:line="360" w:lineRule="auto"/>
        <w:ind w:firstLine="567"/>
        <w:jc w:val="both"/>
        <w:rPr>
          <w:rFonts w:ascii="Times New Roman" w:hAnsi="Times New Roman" w:cs="Times New Roman"/>
          <w:bCs/>
          <w:color w:val="000000" w:themeColor="text1"/>
          <w:szCs w:val="26"/>
          <w:lang w:val="vi-VN"/>
        </w:rPr>
      </w:pPr>
      <w:r w:rsidRPr="00050474">
        <w:rPr>
          <w:rFonts w:ascii="Times New Roman" w:hAnsi="Times New Roman" w:cs="Times New Roman"/>
          <w:bCs/>
          <w:color w:val="000000" w:themeColor="text1"/>
          <w:szCs w:val="26"/>
          <w:lang w:val="vi-VN"/>
        </w:rPr>
        <w:sym w:font="Wingdings 2" w:char="F050"/>
      </w:r>
      <w:r w:rsidRPr="00050474">
        <w:rPr>
          <w:rFonts w:ascii="Times New Roman" w:hAnsi="Times New Roman" w:cs="Times New Roman"/>
          <w:bCs/>
          <w:color w:val="000000" w:themeColor="text1"/>
          <w:szCs w:val="26"/>
          <w:lang w:val="vi-VN"/>
        </w:rPr>
        <w:t xml:space="preserve"> Nhóm 4: Đơn vị do Nhà nước bảo đảm chi thường xuyên. Đây là các đơn vị phụ thuộc hoàn toàn vào ngân sách nhà nước cho chi phí hoạt động thường xuyên và chi đầu tư.</w:t>
      </w:r>
    </w:p>
    <w:p w14:paraId="2C7A3B06" w14:textId="7FD1C60C" w:rsidR="00342633" w:rsidRPr="00050474" w:rsidRDefault="0051710A" w:rsidP="00136409">
      <w:pPr>
        <w:spacing w:line="360" w:lineRule="auto"/>
        <w:ind w:firstLine="567"/>
        <w:jc w:val="both"/>
        <w:rPr>
          <w:rFonts w:ascii="Times New Roman" w:eastAsiaTheme="minorHAnsi" w:hAnsi="Times New Roman" w:cs="Times New Roman"/>
          <w:bCs/>
          <w:color w:val="000000" w:themeColor="text1"/>
          <w:szCs w:val="26"/>
          <w:lang w:val="vi-VN"/>
        </w:rPr>
      </w:pPr>
      <w:r w:rsidRPr="00050474">
        <w:rPr>
          <w:rFonts w:ascii="Times New Roman" w:eastAsiaTheme="minorHAnsi" w:hAnsi="Times New Roman" w:cs="Times New Roman"/>
          <w:bCs/>
          <w:color w:val="000000" w:themeColor="text1"/>
          <w:szCs w:val="26"/>
          <w:lang w:val="vi-VN"/>
        </w:rPr>
        <w:t>Phân loại theo cơ chế tự chủ tài chính có ý nghĩa đặc biệt quan trọng trong tổ chức công tác kế toán, vì nó quyết định đến hệ thống tài khoản và phương pháp hạch toán. Chẳng hạn, các đơn vị ở nhóm 1 và nhóm 2 có thể được phép áp dụng một số quy định kế toán tương tự doanh nghiệp, trong khi nhóm 3 và 4 phải tuân thủ nghiêm ngặt chế độ kế toán hành chính sự nghiệp (</w:t>
      </w:r>
      <w:r w:rsidR="002420DF" w:rsidRPr="00050474">
        <w:rPr>
          <w:rFonts w:ascii="Times New Roman" w:hAnsi="Times New Roman" w:cs="Times New Roman"/>
          <w:noProof/>
          <w:color w:val="000000" w:themeColor="text1"/>
          <w:szCs w:val="26"/>
          <w:lang w:val="vi-VN"/>
        </w:rPr>
        <w:t>Thông tư số 24/2024/TT-BTC</w:t>
      </w:r>
      <w:r w:rsidR="002420DF" w:rsidRPr="00050474">
        <w:rPr>
          <w:rFonts w:ascii="Times New Roman" w:hAnsi="Times New Roman" w:cs="Times New Roman"/>
          <w:color w:val="000000" w:themeColor="text1"/>
          <w:szCs w:val="26"/>
          <w:lang w:val="vi-VN"/>
        </w:rPr>
        <w:t xml:space="preserve"> về chế độ kế toán hành chính, sự nghiệp</w:t>
      </w:r>
      <w:r w:rsidRPr="00050474">
        <w:rPr>
          <w:rFonts w:ascii="Times New Roman" w:eastAsiaTheme="minorHAnsi" w:hAnsi="Times New Roman" w:cs="Times New Roman"/>
          <w:bCs/>
          <w:color w:val="000000" w:themeColor="text1"/>
          <w:szCs w:val="26"/>
          <w:lang w:val="vi-VN"/>
        </w:rPr>
        <w:t xml:space="preserve">). </w:t>
      </w:r>
    </w:p>
    <w:p w14:paraId="6837140B" w14:textId="77777777" w:rsidR="00342633" w:rsidRPr="00050474" w:rsidRDefault="0051710A">
      <w:pPr>
        <w:spacing w:line="360" w:lineRule="auto"/>
        <w:ind w:firstLineChars="200" w:firstLine="520"/>
        <w:jc w:val="both"/>
        <w:rPr>
          <w:rStyle w:val="Heading1Char"/>
          <w:rFonts w:ascii="Times New Roman" w:hAnsi="Times New Roman" w:cs="Times New Roman"/>
          <w:b w:val="0"/>
          <w:bCs w:val="0"/>
          <w:i/>
          <w:color w:val="000000" w:themeColor="text1"/>
          <w:sz w:val="26"/>
          <w:szCs w:val="24"/>
          <w:lang w:val="vi-VN"/>
        </w:rPr>
      </w:pPr>
      <w:r w:rsidRPr="00050474">
        <w:rPr>
          <w:rStyle w:val="Heading1Char"/>
          <w:rFonts w:ascii="Times New Roman" w:hAnsi="Times New Roman" w:cs="Times New Roman"/>
          <w:b w:val="0"/>
          <w:bCs w:val="0"/>
          <w:i/>
          <w:color w:val="000000" w:themeColor="text1"/>
          <w:sz w:val="26"/>
          <w:szCs w:val="24"/>
          <w:lang w:val="vi-VN"/>
        </w:rPr>
        <w:t>1.1.3. Cơ chế quản lý tài chính Nhà nước và tác động đến kế toán đơn vị sự nghiệp công</w:t>
      </w:r>
      <w:bookmarkEnd w:id="83"/>
    </w:p>
    <w:bookmarkEnd w:id="82"/>
    <w:p w14:paraId="2408D30C" w14:textId="77777777" w:rsidR="00342633" w:rsidRPr="00050474" w:rsidRDefault="0051710A">
      <w:pPr>
        <w:pStyle w:val="Heading2"/>
        <w:ind w:left="0" w:firstLineChars="200" w:firstLine="520"/>
        <w:rPr>
          <w:b w:val="0"/>
          <w:bCs w:val="0"/>
          <w:i/>
          <w:iCs w:val="0"/>
          <w:color w:val="000000" w:themeColor="text1"/>
          <w:szCs w:val="26"/>
          <w:lang w:val="vi-VN"/>
        </w:rPr>
      </w:pPr>
      <w:r w:rsidRPr="00050474">
        <w:rPr>
          <w:rStyle w:val="Heading1Char"/>
          <w:i/>
          <w:iCs w:val="0"/>
          <w:color w:val="000000" w:themeColor="text1"/>
          <w:sz w:val="26"/>
          <w:szCs w:val="24"/>
          <w:lang w:val="vi-VN"/>
        </w:rPr>
        <w:lastRenderedPageBreak/>
        <w:t>1.1.4. Vai trò của kế toán trong ĐVSNCL</w:t>
      </w:r>
    </w:p>
    <w:p w14:paraId="0195402A" w14:textId="77777777" w:rsidR="00342633" w:rsidRPr="00050474" w:rsidRDefault="0051710A">
      <w:pPr>
        <w:pStyle w:val="Heading2"/>
        <w:ind w:left="0" w:firstLineChars="200" w:firstLine="520"/>
        <w:rPr>
          <w:rStyle w:val="Heading1Char"/>
          <w:i/>
          <w:iCs w:val="0"/>
          <w:color w:val="000000" w:themeColor="text1"/>
          <w:sz w:val="26"/>
          <w:szCs w:val="24"/>
          <w:lang w:val="vi-VN"/>
        </w:rPr>
      </w:pPr>
      <w:r w:rsidRPr="00050474">
        <w:rPr>
          <w:rStyle w:val="Heading1Char"/>
          <w:i/>
          <w:iCs w:val="0"/>
          <w:color w:val="000000" w:themeColor="text1"/>
          <w:sz w:val="26"/>
          <w:szCs w:val="24"/>
          <w:lang w:val="vi-VN"/>
        </w:rPr>
        <w:t>1.1.5. Cơ sở pháp lý của công tác kế toán tại ĐVSNCL</w:t>
      </w:r>
    </w:p>
    <w:p w14:paraId="55CB45B3" w14:textId="77777777" w:rsidR="00342633" w:rsidRPr="00050474" w:rsidRDefault="0051710A">
      <w:pPr>
        <w:pStyle w:val="Heading1"/>
        <w:spacing w:before="0" w:after="0" w:line="360" w:lineRule="auto"/>
        <w:rPr>
          <w:color w:val="000000" w:themeColor="text1"/>
          <w:sz w:val="26"/>
          <w:szCs w:val="26"/>
          <w:lang w:val="vi-VN"/>
        </w:rPr>
      </w:pPr>
      <w:bookmarkStart w:id="88" w:name="_Toc229148252"/>
      <w:bookmarkStart w:id="89" w:name="_Toc210724144"/>
      <w:r w:rsidRPr="00050474">
        <w:rPr>
          <w:color w:val="000000" w:themeColor="text1"/>
          <w:sz w:val="26"/>
          <w:szCs w:val="26"/>
          <w:lang w:val="vi-VN"/>
        </w:rPr>
        <w:t xml:space="preserve">1.2. Tổ chức công tác kế toán trong </w:t>
      </w:r>
      <w:bookmarkEnd w:id="88"/>
      <w:bookmarkEnd w:id="89"/>
      <w:r w:rsidRPr="00050474">
        <w:rPr>
          <w:color w:val="000000" w:themeColor="text1"/>
          <w:sz w:val="26"/>
          <w:szCs w:val="26"/>
          <w:lang w:val="vi-VN"/>
        </w:rPr>
        <w:t>các đơn vị sự nghiệp công lập</w:t>
      </w:r>
    </w:p>
    <w:p w14:paraId="723DD7F1" w14:textId="5228BB2C" w:rsidR="00342633" w:rsidRPr="00050474" w:rsidRDefault="0051710A" w:rsidP="008204E4">
      <w:pPr>
        <w:pStyle w:val="Heading2"/>
        <w:spacing w:before="0" w:after="0" w:line="360" w:lineRule="auto"/>
        <w:ind w:left="13" w:hangingChars="5" w:hanging="13"/>
        <w:rPr>
          <w:b w:val="0"/>
          <w:bCs w:val="0"/>
          <w:i/>
          <w:iCs w:val="0"/>
          <w:color w:val="000000" w:themeColor="text1"/>
          <w:szCs w:val="26"/>
          <w:lang w:val="vi-VN"/>
        </w:rPr>
      </w:pPr>
      <w:bookmarkStart w:id="90" w:name="_Toc229148253"/>
      <w:r w:rsidRPr="00050474">
        <w:rPr>
          <w:b w:val="0"/>
          <w:bCs w:val="0"/>
          <w:i/>
          <w:iCs w:val="0"/>
          <w:color w:val="000000" w:themeColor="text1"/>
          <w:szCs w:val="26"/>
          <w:lang w:val="vi-VN"/>
        </w:rPr>
        <w:t xml:space="preserve">1.2.1 </w:t>
      </w:r>
      <w:bookmarkEnd w:id="90"/>
      <w:r w:rsidR="00CB0922" w:rsidRPr="00050474">
        <w:rPr>
          <w:b w:val="0"/>
          <w:bCs w:val="0"/>
          <w:i/>
          <w:iCs w:val="0"/>
          <w:color w:val="000000" w:themeColor="text1"/>
          <w:szCs w:val="26"/>
          <w:lang w:val="vi-VN"/>
        </w:rPr>
        <w:t>Nội dung tổ chức công tác kế toán trong các đơn vị sự nghiệp công lập</w:t>
      </w:r>
    </w:p>
    <w:p w14:paraId="70706944" w14:textId="79A45430" w:rsidR="008204E4" w:rsidRPr="00050474" w:rsidRDefault="008204E4" w:rsidP="008204E4">
      <w:pPr>
        <w:pStyle w:val="TOC4"/>
        <w:tabs>
          <w:tab w:val="right" w:leader="dot" w:pos="8494"/>
        </w:tabs>
        <w:spacing w:after="0"/>
        <w:jc w:val="both"/>
        <w:rPr>
          <w:iCs w:val="0"/>
          <w:color w:val="000000" w:themeColor="text1"/>
          <w:lang w:val="vi-VN"/>
        </w:rPr>
      </w:pPr>
      <w:r w:rsidRPr="00050474">
        <w:rPr>
          <w:iCs w:val="0"/>
          <w:color w:val="000000" w:themeColor="text1"/>
          <w:lang w:val="vi-VN"/>
        </w:rPr>
        <w:t>1.2.1.1 Tổ chức bộ máy kế toán</w:t>
      </w:r>
    </w:p>
    <w:p w14:paraId="23834486" w14:textId="4D16AAD4" w:rsidR="008204E4" w:rsidRPr="00050474" w:rsidRDefault="008204E4" w:rsidP="008204E4">
      <w:pPr>
        <w:pStyle w:val="TOC4"/>
        <w:tabs>
          <w:tab w:val="right" w:leader="dot" w:pos="8494"/>
        </w:tabs>
        <w:spacing w:after="0"/>
        <w:jc w:val="both"/>
        <w:rPr>
          <w:iCs w:val="0"/>
          <w:color w:val="000000" w:themeColor="text1"/>
          <w:lang w:val="vi-VN"/>
        </w:rPr>
      </w:pPr>
      <w:r w:rsidRPr="00050474">
        <w:rPr>
          <w:iCs w:val="0"/>
          <w:color w:val="000000" w:themeColor="text1"/>
          <w:lang w:val="vi-VN"/>
        </w:rPr>
        <w:t>1.2.1.2. Tổ chức thu nhận, kiểm tra và lưu trữ thông tin kế toán</w:t>
      </w:r>
    </w:p>
    <w:p w14:paraId="7DE89507" w14:textId="5457F31E" w:rsidR="008204E4" w:rsidRPr="00050474" w:rsidRDefault="008204E4" w:rsidP="008204E4">
      <w:pPr>
        <w:pStyle w:val="TOC4"/>
        <w:tabs>
          <w:tab w:val="right" w:leader="dot" w:pos="8494"/>
        </w:tabs>
        <w:spacing w:after="0"/>
        <w:jc w:val="both"/>
        <w:rPr>
          <w:iCs w:val="0"/>
          <w:color w:val="000000" w:themeColor="text1"/>
          <w:lang w:val="vi-VN"/>
        </w:rPr>
      </w:pPr>
      <w:r w:rsidRPr="00050474">
        <w:rPr>
          <w:iCs w:val="0"/>
          <w:color w:val="000000" w:themeColor="text1"/>
          <w:lang w:val="vi-VN"/>
        </w:rPr>
        <w:t>1.2.1.3. Tổ chức xử lý và hệ thống hóa thông tin kế toán</w:t>
      </w:r>
    </w:p>
    <w:p w14:paraId="5EAA3144" w14:textId="33335BDD" w:rsidR="008204E4" w:rsidRPr="00050474" w:rsidRDefault="008204E4" w:rsidP="008204E4">
      <w:pPr>
        <w:pStyle w:val="TOC4"/>
        <w:tabs>
          <w:tab w:val="right" w:leader="dot" w:pos="8494"/>
        </w:tabs>
        <w:spacing w:after="0"/>
        <w:jc w:val="both"/>
        <w:rPr>
          <w:iCs w:val="0"/>
          <w:color w:val="000000" w:themeColor="text1"/>
          <w:lang w:val="en-US"/>
        </w:rPr>
      </w:pPr>
      <w:r w:rsidRPr="00050474">
        <w:rPr>
          <w:iCs w:val="0"/>
          <w:color w:val="000000" w:themeColor="text1"/>
          <w:lang w:val="en-US"/>
        </w:rPr>
        <w:t>1.2.1.4. Tổ chức cung cấp thông tin</w:t>
      </w:r>
    </w:p>
    <w:p w14:paraId="4230E421" w14:textId="607CEA3F" w:rsidR="008204E4" w:rsidRPr="00050474" w:rsidRDefault="008204E4" w:rsidP="008204E4">
      <w:pPr>
        <w:pStyle w:val="TOC4"/>
        <w:tabs>
          <w:tab w:val="right" w:leader="dot" w:pos="8494"/>
        </w:tabs>
        <w:spacing w:after="0"/>
        <w:jc w:val="both"/>
        <w:rPr>
          <w:noProof/>
          <w:color w:val="000000" w:themeColor="text1"/>
          <w:lang w:val="en-US"/>
        </w:rPr>
      </w:pPr>
      <w:r w:rsidRPr="00050474">
        <w:rPr>
          <w:iCs w:val="0"/>
          <w:color w:val="000000" w:themeColor="text1"/>
          <w:lang w:val="en-US"/>
        </w:rPr>
        <w:t>1.2.1.5. Tổ chức phân tích thông tin cho việc ra quyết định</w:t>
      </w:r>
    </w:p>
    <w:p w14:paraId="49921DC7" w14:textId="5106F27A" w:rsidR="00342633" w:rsidRPr="00050474" w:rsidRDefault="0051710A" w:rsidP="008204E4">
      <w:pPr>
        <w:pStyle w:val="Heading1"/>
        <w:spacing w:before="0" w:after="0" w:line="360" w:lineRule="auto"/>
        <w:jc w:val="both"/>
        <w:rPr>
          <w:b w:val="0"/>
          <w:bCs w:val="0"/>
          <w:i/>
          <w:iCs/>
          <w:color w:val="000000" w:themeColor="text1"/>
          <w:sz w:val="26"/>
          <w:szCs w:val="26"/>
        </w:rPr>
      </w:pPr>
      <w:bookmarkStart w:id="91" w:name="_Toc229148261"/>
      <w:r w:rsidRPr="00050474">
        <w:rPr>
          <w:rStyle w:val="ng-star-inserted"/>
          <w:b w:val="0"/>
          <w:bCs w:val="0"/>
          <w:i/>
          <w:iCs/>
          <w:color w:val="000000" w:themeColor="text1"/>
          <w:sz w:val="26"/>
          <w:szCs w:val="26"/>
        </w:rPr>
        <w:t xml:space="preserve">1.2.2 </w:t>
      </w:r>
      <w:bookmarkEnd w:id="91"/>
      <w:r w:rsidR="008204E4" w:rsidRPr="00050474">
        <w:rPr>
          <w:rStyle w:val="ng-star-inserted"/>
          <w:b w:val="0"/>
          <w:bCs w:val="0"/>
          <w:i/>
          <w:color w:val="000000" w:themeColor="text1"/>
          <w:sz w:val="26"/>
          <w:szCs w:val="26"/>
        </w:rPr>
        <w:t>Nhân tố ảnh hưởng và Lý thuyết nền đến tổ chức công tác kế toán tại các tại bệnh viện công lập</w:t>
      </w:r>
      <w:r w:rsidRPr="00050474">
        <w:rPr>
          <w:rStyle w:val="ng-star-inserted"/>
          <w:b w:val="0"/>
          <w:bCs w:val="0"/>
          <w:i/>
          <w:iCs/>
          <w:color w:val="000000" w:themeColor="text1"/>
          <w:sz w:val="26"/>
          <w:szCs w:val="26"/>
        </w:rPr>
        <w:t xml:space="preserve"> </w:t>
      </w:r>
    </w:p>
    <w:p w14:paraId="178690A5" w14:textId="77777777" w:rsidR="00342633" w:rsidRPr="00050474" w:rsidRDefault="0051710A">
      <w:pPr>
        <w:pStyle w:val="Heading1"/>
        <w:spacing w:before="0" w:after="0" w:line="360" w:lineRule="auto"/>
        <w:ind w:left="0" w:firstLine="0"/>
        <w:rPr>
          <w:color w:val="000000" w:themeColor="text1"/>
          <w:sz w:val="26"/>
          <w:szCs w:val="26"/>
        </w:rPr>
      </w:pPr>
      <w:bookmarkStart w:id="92" w:name="_Toc229148280"/>
      <w:r w:rsidRPr="00050474">
        <w:rPr>
          <w:color w:val="000000" w:themeColor="text1"/>
          <w:sz w:val="26"/>
          <w:szCs w:val="26"/>
        </w:rPr>
        <w:t xml:space="preserve">1.3. </w:t>
      </w:r>
      <w:bookmarkEnd w:id="92"/>
      <w:r w:rsidRPr="00050474">
        <w:rPr>
          <w:rFonts w:eastAsia="Calibri"/>
          <w:color w:val="000000" w:themeColor="text1"/>
          <w:sz w:val="26"/>
          <w:szCs w:val="26"/>
          <w:lang w:bidi="ar"/>
        </w:rPr>
        <w:t>Kinh nghiệm một số quốc gia điển hình và bài học kinh nghiệm về tổ chức công tác kế toán.</w:t>
      </w:r>
    </w:p>
    <w:p w14:paraId="2067C044" w14:textId="76AC2BB7" w:rsidR="00342633" w:rsidRPr="00050474" w:rsidRDefault="0051710A">
      <w:pPr>
        <w:pStyle w:val="Heading2"/>
        <w:spacing w:before="0" w:after="0" w:line="360" w:lineRule="auto"/>
        <w:ind w:leftChars="5" w:left="13" w:firstLineChars="194" w:firstLine="504"/>
        <w:rPr>
          <w:b w:val="0"/>
          <w:bCs w:val="0"/>
          <w:i/>
          <w:iCs w:val="0"/>
          <w:color w:val="000000" w:themeColor="text1"/>
          <w:szCs w:val="26"/>
        </w:rPr>
      </w:pPr>
      <w:bookmarkStart w:id="93" w:name="_Toc229148281"/>
      <w:r w:rsidRPr="00050474">
        <w:rPr>
          <w:b w:val="0"/>
          <w:bCs w:val="0"/>
          <w:i/>
          <w:iCs w:val="0"/>
          <w:color w:val="000000" w:themeColor="text1"/>
          <w:szCs w:val="26"/>
        </w:rPr>
        <w:t xml:space="preserve">1.3.1 </w:t>
      </w:r>
      <w:bookmarkEnd w:id="93"/>
      <w:r w:rsidRPr="00050474">
        <w:rPr>
          <w:rFonts w:eastAsia="Calibri"/>
          <w:b w:val="0"/>
          <w:bCs w:val="0"/>
          <w:i/>
          <w:iCs w:val="0"/>
          <w:color w:val="000000" w:themeColor="text1"/>
          <w:szCs w:val="26"/>
          <w:lang w:bidi="ar"/>
        </w:rPr>
        <w:t>Kinh nghiệm một số quốc gia điển hình</w:t>
      </w:r>
      <w:r w:rsidR="008204E4" w:rsidRPr="00050474">
        <w:rPr>
          <w:rFonts w:eastAsia="Calibri"/>
          <w:b w:val="0"/>
          <w:bCs w:val="0"/>
          <w:i/>
          <w:iCs w:val="0"/>
          <w:color w:val="000000" w:themeColor="text1"/>
          <w:szCs w:val="26"/>
          <w:lang w:bidi="ar"/>
        </w:rPr>
        <w:t xml:space="preserve"> về tổ chức công tác kế toán</w:t>
      </w:r>
      <w:r w:rsidRPr="00050474">
        <w:rPr>
          <w:rFonts w:eastAsia="Calibri"/>
          <w:b w:val="0"/>
          <w:bCs w:val="0"/>
          <w:i/>
          <w:iCs w:val="0"/>
          <w:color w:val="000000" w:themeColor="text1"/>
          <w:szCs w:val="26"/>
          <w:lang w:bidi="ar"/>
        </w:rPr>
        <w:t>.</w:t>
      </w:r>
    </w:p>
    <w:p w14:paraId="4747BEA1" w14:textId="226E02DB" w:rsidR="00342633" w:rsidRPr="00050474" w:rsidRDefault="0051710A">
      <w:pPr>
        <w:pStyle w:val="Heading2"/>
        <w:spacing w:before="0" w:after="0" w:line="360" w:lineRule="auto"/>
        <w:ind w:leftChars="5" w:left="13" w:firstLineChars="194" w:firstLine="504"/>
        <w:rPr>
          <w:b w:val="0"/>
          <w:bCs w:val="0"/>
          <w:i/>
          <w:iCs w:val="0"/>
          <w:color w:val="000000" w:themeColor="text1"/>
          <w:szCs w:val="26"/>
        </w:rPr>
      </w:pPr>
      <w:bookmarkStart w:id="94" w:name="_Toc210569593"/>
      <w:bookmarkStart w:id="95" w:name="_Toc210737783"/>
      <w:bookmarkStart w:id="96" w:name="_Toc229148285"/>
      <w:r w:rsidRPr="00050474">
        <w:rPr>
          <w:b w:val="0"/>
          <w:bCs w:val="0"/>
          <w:i/>
          <w:iCs w:val="0"/>
          <w:color w:val="000000" w:themeColor="text1"/>
          <w:szCs w:val="26"/>
        </w:rPr>
        <w:t xml:space="preserve">1.3.2 </w:t>
      </w:r>
      <w:bookmarkEnd w:id="94"/>
      <w:bookmarkEnd w:id="95"/>
      <w:bookmarkEnd w:id="96"/>
      <w:r w:rsidR="008204E4" w:rsidRPr="00050474">
        <w:rPr>
          <w:rFonts w:eastAsia="Calibri"/>
          <w:b w:val="0"/>
          <w:bCs w:val="0"/>
          <w:i/>
          <w:iCs w:val="0"/>
          <w:color w:val="000000" w:themeColor="text1"/>
          <w:szCs w:val="26"/>
          <w:lang w:bidi="ar"/>
        </w:rPr>
        <w:t>Bài học kinh nghiệm rút ra cho tổ chức công tác kế toán công Việt Nam</w:t>
      </w:r>
      <w:r w:rsidRPr="00050474">
        <w:rPr>
          <w:rFonts w:eastAsia="Calibri"/>
          <w:b w:val="0"/>
          <w:bCs w:val="0"/>
          <w:i/>
          <w:iCs w:val="0"/>
          <w:color w:val="000000" w:themeColor="text1"/>
          <w:szCs w:val="26"/>
          <w:lang w:bidi="ar"/>
        </w:rPr>
        <w:t>.</w:t>
      </w:r>
    </w:p>
    <w:p w14:paraId="2668FCBC" w14:textId="77777777" w:rsidR="00342633" w:rsidRPr="00050474" w:rsidRDefault="00342633">
      <w:pPr>
        <w:rPr>
          <w:color w:val="000000" w:themeColor="text1"/>
        </w:rPr>
      </w:pPr>
    </w:p>
    <w:p w14:paraId="24B46E66" w14:textId="77777777" w:rsidR="00342633" w:rsidRPr="00050474" w:rsidRDefault="0051710A">
      <w:pPr>
        <w:pStyle w:val="Heading1"/>
        <w:tabs>
          <w:tab w:val="left" w:pos="8222"/>
        </w:tabs>
        <w:spacing w:before="0" w:after="0" w:line="360" w:lineRule="auto"/>
        <w:ind w:left="0" w:right="522" w:firstLine="0"/>
        <w:jc w:val="center"/>
        <w:rPr>
          <w:rStyle w:val="Heading1Char"/>
          <w:b/>
          <w:color w:val="000000" w:themeColor="text1"/>
          <w:sz w:val="26"/>
          <w:szCs w:val="26"/>
        </w:rPr>
      </w:pPr>
      <w:r w:rsidRPr="00050474">
        <w:rPr>
          <w:color w:val="000000" w:themeColor="text1"/>
          <w:sz w:val="26"/>
          <w:szCs w:val="26"/>
        </w:rPr>
        <w:t>CHƯƠNG 2.</w:t>
      </w:r>
      <w:r w:rsidRPr="00050474">
        <w:rPr>
          <w:b w:val="0"/>
          <w:color w:val="000000" w:themeColor="text1"/>
          <w:sz w:val="26"/>
          <w:szCs w:val="26"/>
        </w:rPr>
        <w:t xml:space="preserve"> </w:t>
      </w:r>
      <w:bookmarkStart w:id="97" w:name="_Toc210724167"/>
      <w:bookmarkStart w:id="98" w:name="_Toc229148291"/>
      <w:r w:rsidRPr="00050474">
        <w:rPr>
          <w:rStyle w:val="Heading1Char"/>
          <w:b/>
          <w:color w:val="000000" w:themeColor="text1"/>
          <w:sz w:val="26"/>
          <w:szCs w:val="26"/>
          <w:lang w:val="vi-VN"/>
        </w:rPr>
        <w:t xml:space="preserve">THỰC TRẠNG TỔ CHỨC CÔNG TÁC KẾ TOÁN TẠI CÁC BỆNH VIỆN CÔNG LẬP KHU VỰC </w:t>
      </w:r>
      <w:bookmarkEnd w:id="97"/>
      <w:r w:rsidRPr="00050474">
        <w:rPr>
          <w:rStyle w:val="Heading1Char"/>
          <w:b/>
          <w:color w:val="000000" w:themeColor="text1"/>
          <w:sz w:val="26"/>
          <w:szCs w:val="26"/>
        </w:rPr>
        <w:t>ĐỒNG BẰNG SÔNG CỬU LONG</w:t>
      </w:r>
      <w:bookmarkEnd w:id="98"/>
    </w:p>
    <w:p w14:paraId="38FBF813" w14:textId="77777777" w:rsidR="00342633" w:rsidRPr="00050474" w:rsidRDefault="0051710A">
      <w:pPr>
        <w:pStyle w:val="Heading1"/>
        <w:spacing w:before="0" w:after="0" w:line="360" w:lineRule="auto"/>
        <w:ind w:left="0" w:firstLine="0"/>
        <w:rPr>
          <w:color w:val="000000" w:themeColor="text1"/>
          <w:sz w:val="26"/>
          <w:szCs w:val="26"/>
        </w:rPr>
      </w:pPr>
      <w:bookmarkStart w:id="99" w:name="_Toc229148292"/>
      <w:r w:rsidRPr="00050474">
        <w:rPr>
          <w:color w:val="000000" w:themeColor="text1"/>
          <w:sz w:val="26"/>
          <w:szCs w:val="26"/>
        </w:rPr>
        <w:t xml:space="preserve">2.1 </w:t>
      </w:r>
      <w:bookmarkStart w:id="100" w:name="_Hlk230110140"/>
      <w:r w:rsidRPr="00050474">
        <w:rPr>
          <w:color w:val="000000" w:themeColor="text1"/>
          <w:sz w:val="26"/>
          <w:szCs w:val="26"/>
        </w:rPr>
        <w:t>Tổng quan về các bệnh viện công lập khu vực Đồng bằng sông Cửu Long</w:t>
      </w:r>
      <w:bookmarkEnd w:id="99"/>
      <w:bookmarkEnd w:id="100"/>
    </w:p>
    <w:p w14:paraId="3568D382" w14:textId="77777777" w:rsidR="00342633" w:rsidRPr="00050474" w:rsidRDefault="0051710A">
      <w:pPr>
        <w:pStyle w:val="Heading2"/>
        <w:spacing w:before="0" w:after="0" w:line="360" w:lineRule="auto"/>
        <w:rPr>
          <w:color w:val="000000" w:themeColor="text1"/>
          <w:szCs w:val="26"/>
        </w:rPr>
      </w:pPr>
      <w:bookmarkStart w:id="101" w:name="_Toc210724168"/>
      <w:bookmarkStart w:id="102" w:name="_Toc229148293"/>
      <w:r w:rsidRPr="00050474">
        <w:rPr>
          <w:color w:val="000000" w:themeColor="text1"/>
          <w:szCs w:val="26"/>
        </w:rPr>
        <w:t xml:space="preserve">2.1.1 Tổng quan về các bệnh viện </w:t>
      </w:r>
      <w:r w:rsidRPr="00050474">
        <w:rPr>
          <w:color w:val="000000" w:themeColor="text1"/>
          <w:szCs w:val="26"/>
          <w:lang w:val="vi-VN"/>
        </w:rPr>
        <w:t xml:space="preserve">công lập khu vực </w:t>
      </w:r>
      <w:r w:rsidRPr="00050474">
        <w:rPr>
          <w:color w:val="000000" w:themeColor="text1"/>
          <w:szCs w:val="26"/>
        </w:rPr>
        <w:t>ĐBSCL</w:t>
      </w:r>
      <w:bookmarkEnd w:id="101"/>
      <w:bookmarkEnd w:id="102"/>
    </w:p>
    <w:p w14:paraId="1186FD91" w14:textId="50EA4A9A" w:rsidR="0037451F" w:rsidRPr="00050474" w:rsidRDefault="0051710A" w:rsidP="0037451F">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Theo số liệu tổng hợp từ báo cáo của các Sở Y tế năm 2024, khu vực ĐBSCL hiện có </w:t>
      </w:r>
      <w:r w:rsidRPr="00050474">
        <w:rPr>
          <w:rFonts w:ascii="Times New Roman" w:hAnsi="Times New Roman" w:cs="Times New Roman"/>
          <w:bCs/>
          <w:color w:val="000000" w:themeColor="text1"/>
          <w:szCs w:val="26"/>
          <w:lang w:val="vi-VN"/>
        </w:rPr>
        <w:t>210 bệnh viện công lập</w:t>
      </w:r>
      <w:r w:rsidRPr="00050474">
        <w:rPr>
          <w:rFonts w:ascii="Times New Roman" w:hAnsi="Times New Roman" w:cs="Times New Roman"/>
          <w:color w:val="000000" w:themeColor="text1"/>
          <w:szCs w:val="26"/>
          <w:lang w:val="vi-VN"/>
        </w:rPr>
        <w:t xml:space="preserve">, phân bố tại 13 tỉnh, thành phố trong vùng. Trong đó, có </w:t>
      </w:r>
      <w:r w:rsidRPr="00050474">
        <w:rPr>
          <w:rFonts w:ascii="Times New Roman" w:hAnsi="Times New Roman" w:cs="Times New Roman"/>
          <w:bCs/>
          <w:color w:val="000000" w:themeColor="text1"/>
          <w:szCs w:val="26"/>
          <w:lang w:val="vi-VN"/>
        </w:rPr>
        <w:t>01 bệnh viện tuyến Trung ương đặt tại thành phố Cần Thơ</w:t>
      </w:r>
      <w:r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bCs/>
          <w:color w:val="000000" w:themeColor="text1"/>
          <w:szCs w:val="26"/>
          <w:lang w:val="vi-VN"/>
        </w:rPr>
        <w:t>37 bệnh viện tuyến tỉnh/thành phố</w:t>
      </w:r>
      <w:r w:rsidRPr="00050474">
        <w:rPr>
          <w:rFonts w:ascii="Times New Roman" w:hAnsi="Times New Roman" w:cs="Times New Roman"/>
          <w:color w:val="000000" w:themeColor="text1"/>
          <w:szCs w:val="26"/>
          <w:lang w:val="vi-VN"/>
        </w:rPr>
        <w:t xml:space="preserve">, </w:t>
      </w:r>
      <w:r w:rsidRPr="00050474">
        <w:rPr>
          <w:rFonts w:ascii="Times New Roman" w:hAnsi="Times New Roman" w:cs="Times New Roman"/>
          <w:bCs/>
          <w:color w:val="000000" w:themeColor="text1"/>
          <w:szCs w:val="26"/>
          <w:lang w:val="vi-VN"/>
        </w:rPr>
        <w:t>138 bệnh viện tuyến huyện/quận</w:t>
      </w:r>
      <w:r w:rsidRPr="00050474">
        <w:rPr>
          <w:rFonts w:ascii="Times New Roman" w:hAnsi="Times New Roman" w:cs="Times New Roman"/>
          <w:color w:val="000000" w:themeColor="text1"/>
          <w:szCs w:val="26"/>
          <w:lang w:val="vi-VN"/>
        </w:rPr>
        <w:t xml:space="preserve"> và </w:t>
      </w:r>
      <w:r w:rsidRPr="00050474">
        <w:rPr>
          <w:rFonts w:ascii="Times New Roman" w:hAnsi="Times New Roman" w:cs="Times New Roman"/>
          <w:bCs/>
          <w:color w:val="000000" w:themeColor="text1"/>
          <w:szCs w:val="26"/>
          <w:lang w:val="vi-VN"/>
        </w:rPr>
        <w:t>34 bệnh viện chuyên khoa</w:t>
      </w:r>
      <w:r w:rsidRPr="00050474">
        <w:rPr>
          <w:rFonts w:ascii="Times New Roman" w:hAnsi="Times New Roman" w:cs="Times New Roman"/>
          <w:color w:val="000000" w:themeColor="text1"/>
          <w:szCs w:val="26"/>
          <w:lang w:val="vi-VN"/>
        </w:rPr>
        <w:t xml:space="preserve"> như bệnh viện Nhi, Tim mạch, Y học cổ truyền, Lao và Phổi, Ung bướu, Tâm thần, Sản – Nhi, Phục hồi chức năng và Da liễu. </w:t>
      </w:r>
    </w:p>
    <w:p w14:paraId="44184909"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Về cơ chế quản lý tài chính, các bệnh viện công lập trong khu vực hiện tuân thủ quy định tại </w:t>
      </w:r>
      <w:r w:rsidRPr="00050474">
        <w:rPr>
          <w:rFonts w:ascii="Times New Roman" w:hAnsi="Times New Roman" w:cs="Times New Roman"/>
          <w:bCs/>
          <w:color w:val="000000" w:themeColor="text1"/>
          <w:szCs w:val="26"/>
          <w:lang w:val="vi-VN"/>
        </w:rPr>
        <w:t>Nghị định số 60/2021/NĐ-CP của Chính phủ</w:t>
      </w:r>
      <w:r w:rsidRPr="00050474">
        <w:rPr>
          <w:rFonts w:ascii="Times New Roman" w:hAnsi="Times New Roman" w:cs="Times New Roman"/>
          <w:color w:val="000000" w:themeColor="text1"/>
          <w:szCs w:val="26"/>
          <w:lang w:val="vi-VN"/>
        </w:rPr>
        <w:t xml:space="preserve"> về cơ chế tự chủ tài chính đối với đơn vị sự nghiệp công lập và Nghị định số 111/2025/NĐ-CP Sửa đổi, bổ sung một số điều của Nghị định số 60/2021/NĐ-CP. Theo quy định này, các bệnh viện được phân loại thành bốn nhóm: (i) </w:t>
      </w:r>
      <w:r w:rsidRPr="00050474">
        <w:rPr>
          <w:rFonts w:ascii="Times New Roman" w:hAnsi="Times New Roman" w:cs="Times New Roman"/>
          <w:bCs/>
          <w:color w:val="000000" w:themeColor="text1"/>
          <w:szCs w:val="26"/>
          <w:lang w:val="vi-VN"/>
        </w:rPr>
        <w:t>Nhóm 1</w:t>
      </w:r>
      <w:r w:rsidRPr="00050474">
        <w:rPr>
          <w:rFonts w:ascii="Times New Roman" w:hAnsi="Times New Roman" w:cs="Times New Roman"/>
          <w:color w:val="000000" w:themeColor="text1"/>
          <w:szCs w:val="26"/>
          <w:lang w:val="vi-VN"/>
        </w:rPr>
        <w:t xml:space="preserve"> – đơn vị tự bảo đảm chi thường xuyên và chi đầu tư; (ii) </w:t>
      </w:r>
      <w:r w:rsidRPr="00050474">
        <w:rPr>
          <w:rFonts w:ascii="Times New Roman" w:hAnsi="Times New Roman" w:cs="Times New Roman"/>
          <w:bCs/>
          <w:color w:val="000000" w:themeColor="text1"/>
          <w:szCs w:val="26"/>
          <w:lang w:val="vi-VN"/>
        </w:rPr>
        <w:t>Nhóm 2</w:t>
      </w:r>
      <w:r w:rsidRPr="00050474">
        <w:rPr>
          <w:rFonts w:ascii="Times New Roman" w:hAnsi="Times New Roman" w:cs="Times New Roman"/>
          <w:color w:val="000000" w:themeColor="text1"/>
          <w:szCs w:val="26"/>
          <w:lang w:val="vi-VN"/>
        </w:rPr>
        <w:t xml:space="preserve"> – đơn vị tự bảo đảm chi thường xuyên; (iii) </w:t>
      </w:r>
      <w:r w:rsidRPr="00050474">
        <w:rPr>
          <w:rFonts w:ascii="Times New Roman" w:hAnsi="Times New Roman" w:cs="Times New Roman"/>
          <w:bCs/>
          <w:color w:val="000000" w:themeColor="text1"/>
          <w:szCs w:val="26"/>
          <w:lang w:val="vi-VN"/>
        </w:rPr>
        <w:t>Nhóm 3</w:t>
      </w:r>
      <w:r w:rsidRPr="00050474">
        <w:rPr>
          <w:rFonts w:ascii="Times New Roman" w:hAnsi="Times New Roman" w:cs="Times New Roman"/>
          <w:color w:val="000000" w:themeColor="text1"/>
          <w:szCs w:val="26"/>
          <w:lang w:val="vi-VN"/>
        </w:rPr>
        <w:t xml:space="preserve"> – đơn vị tự bảo đảm </w:t>
      </w:r>
      <w:r w:rsidRPr="00050474">
        <w:rPr>
          <w:rFonts w:ascii="Times New Roman" w:hAnsi="Times New Roman" w:cs="Times New Roman"/>
          <w:color w:val="000000" w:themeColor="text1"/>
          <w:szCs w:val="26"/>
          <w:lang w:val="vi-VN"/>
        </w:rPr>
        <w:lastRenderedPageBreak/>
        <w:t xml:space="preserve">một phần chi thường xuyên; và (iv) </w:t>
      </w:r>
      <w:r w:rsidRPr="00050474">
        <w:rPr>
          <w:rFonts w:ascii="Times New Roman" w:hAnsi="Times New Roman" w:cs="Times New Roman"/>
          <w:bCs/>
          <w:color w:val="000000" w:themeColor="text1"/>
          <w:szCs w:val="26"/>
          <w:lang w:val="vi-VN"/>
        </w:rPr>
        <w:t>Nhóm 4</w:t>
      </w:r>
      <w:r w:rsidRPr="00050474">
        <w:rPr>
          <w:rFonts w:ascii="Times New Roman" w:hAnsi="Times New Roman" w:cs="Times New Roman"/>
          <w:color w:val="000000" w:themeColor="text1"/>
          <w:szCs w:val="26"/>
          <w:lang w:val="vi-VN"/>
        </w:rPr>
        <w:t xml:space="preserve"> – đơn vị do ngân sách nhà nước bảo đảm chi thường xuyên.</w:t>
      </w:r>
    </w:p>
    <w:p w14:paraId="72B6B3FD" w14:textId="46031AED"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Cơ chế tự chủ tài chính này ảnh hưởng trực tiếp đến công tác kế toán trong bệnh viện. Đối với những đơn vị có mức độ tự chủ cao (nhóm 1 và 2), công tác kế toán tập trung nhiều vào </w:t>
      </w:r>
      <w:r w:rsidRPr="00050474">
        <w:rPr>
          <w:rFonts w:ascii="Times New Roman" w:hAnsi="Times New Roman" w:cs="Times New Roman"/>
          <w:bCs/>
          <w:color w:val="000000" w:themeColor="text1"/>
          <w:szCs w:val="26"/>
          <w:lang w:val="vi-VN"/>
        </w:rPr>
        <w:t>kế toán quản trị</w:t>
      </w:r>
      <w:r w:rsidRPr="00050474">
        <w:rPr>
          <w:rFonts w:ascii="Times New Roman" w:hAnsi="Times New Roman" w:cs="Times New Roman"/>
          <w:color w:val="000000" w:themeColor="text1"/>
          <w:szCs w:val="26"/>
          <w:lang w:val="vi-VN"/>
        </w:rPr>
        <w:t xml:space="preserve">, đòi hỏi phải tính đúng, tính đủ giá dịch vụ y tế, quản lý chặt chẽ chi phí, khấu hao tài sản cố định và minh bạch hóa báo cáo tài chính. Ngược lại, ở những bệnh viện phụ thuộc nhiều vào ngân sách nhà nước (nhóm 3 và 4), công tác kế toán chủ yếu gắn với </w:t>
      </w:r>
      <w:r w:rsidRPr="00050474">
        <w:rPr>
          <w:rFonts w:ascii="Times New Roman" w:hAnsi="Times New Roman" w:cs="Times New Roman"/>
          <w:bCs/>
          <w:color w:val="000000" w:themeColor="text1"/>
          <w:szCs w:val="26"/>
          <w:lang w:val="vi-VN"/>
        </w:rPr>
        <w:t>kế toán ngân sách</w:t>
      </w:r>
      <w:r w:rsidRPr="00050474">
        <w:rPr>
          <w:rFonts w:ascii="Times New Roman" w:hAnsi="Times New Roman" w:cs="Times New Roman"/>
          <w:color w:val="000000" w:themeColor="text1"/>
          <w:szCs w:val="26"/>
          <w:lang w:val="vi-VN"/>
        </w:rPr>
        <w:t xml:space="preserve">, tập trung vào việc lập dự toán, quản lý và quyết toán chi ngân sách theo quy định, ít chú trọng đến phân tích hiệu quả tài chính. </w:t>
      </w:r>
    </w:p>
    <w:p w14:paraId="6623D9F5" w14:textId="77777777" w:rsidR="00342633" w:rsidRPr="00050474" w:rsidRDefault="0051710A">
      <w:pPr>
        <w:spacing w:after="120" w:line="360" w:lineRule="auto"/>
        <w:jc w:val="both"/>
        <w:rPr>
          <w:rFonts w:ascii="Times New Roman" w:hAnsi="Times New Roman" w:cs="Times New Roman"/>
          <w:i/>
          <w:iCs/>
          <w:color w:val="000000" w:themeColor="text1"/>
          <w:szCs w:val="26"/>
          <w:lang w:val="vi-VN"/>
        </w:rPr>
      </w:pPr>
      <w:r w:rsidRPr="00050474">
        <w:rPr>
          <w:rFonts w:ascii="Times New Roman" w:hAnsi="Times New Roman" w:cs="Times New Roman"/>
          <w:bCs/>
          <w:i/>
          <w:iCs/>
          <w:color w:val="000000" w:themeColor="text1"/>
          <w:szCs w:val="26"/>
          <w:lang w:val="vi-VN"/>
        </w:rPr>
        <w:t>Phân loại bệnh viện công lập khu vực ĐBSCL theo mức độ tự chủ tài chính</w:t>
      </w:r>
    </w:p>
    <w:p w14:paraId="086D7F52" w14:textId="002CC766"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Trong bối cảnh đổi mới cơ chế tài chính, hệ thống bệnh viện công lập tại ĐBSCL đã được phân loại theo mức độ tự chủ chi thường xuyên và chi đầu tư. Kết quả thống kê cho thấy các bệnh viện chủ yếu vẫn dựa vào ngân sách nhà nước (NSNN), trong khi số bệnh viện tự bảo đảm hoàn toàn cả chi thường xuyên và chi đầu tư còn rất hạn chế. Nhóm </w:t>
      </w:r>
      <w:r w:rsidRPr="00050474">
        <w:rPr>
          <w:rFonts w:ascii="Times New Roman" w:hAnsi="Times New Roman" w:cs="Times New Roman"/>
          <w:bCs/>
          <w:color w:val="000000" w:themeColor="text1"/>
          <w:szCs w:val="26"/>
          <w:lang w:val="vi-VN"/>
        </w:rPr>
        <w:t>tự bảo đảm một phần chi thường xuyên</w:t>
      </w:r>
      <w:r w:rsidRPr="00050474">
        <w:rPr>
          <w:rFonts w:ascii="Times New Roman" w:hAnsi="Times New Roman" w:cs="Times New Roman"/>
          <w:color w:val="000000" w:themeColor="text1"/>
          <w:szCs w:val="26"/>
          <w:lang w:val="vi-VN"/>
        </w:rPr>
        <w:t xml:space="preserve"> chiếm tỷ trọng lớn nhất (40,5%), phản ánh cơ chế tài chính phổ biến khi bệnh viện vừa có nguồn thu dịch vụ vừa nhận hỗ trợ từ NSNN. Tổng cộng </w:t>
      </w:r>
      <w:r w:rsidRPr="00050474">
        <w:rPr>
          <w:rFonts w:ascii="Times New Roman" w:hAnsi="Times New Roman" w:cs="Times New Roman"/>
          <w:bCs/>
          <w:color w:val="000000" w:themeColor="text1"/>
          <w:szCs w:val="26"/>
          <w:lang w:val="vi-VN"/>
        </w:rPr>
        <w:t>68,1%</w:t>
      </w:r>
      <w:r w:rsidRPr="00050474">
        <w:rPr>
          <w:rFonts w:ascii="Times New Roman" w:hAnsi="Times New Roman" w:cs="Times New Roman"/>
          <w:color w:val="000000" w:themeColor="text1"/>
          <w:szCs w:val="26"/>
          <w:lang w:val="vi-VN"/>
        </w:rPr>
        <w:t xml:space="preserve"> bệnh viện vẫn phụ thuộc ngân sách, cho thấy vai trò chủ đạo của Nhà nước trong bảo đảm an sinh y tế. Trong khi đó, nhóm </w:t>
      </w:r>
      <w:r w:rsidRPr="00050474">
        <w:rPr>
          <w:rFonts w:ascii="Times New Roman" w:hAnsi="Times New Roman" w:cs="Times New Roman"/>
          <w:bCs/>
          <w:color w:val="000000" w:themeColor="text1"/>
          <w:szCs w:val="26"/>
          <w:lang w:val="vi-VN"/>
        </w:rPr>
        <w:t>tự bảo đảm hoàn toàn cả chi thường xuyên và đầu tư</w:t>
      </w:r>
      <w:r w:rsidRPr="00050474">
        <w:rPr>
          <w:rFonts w:ascii="Times New Roman" w:hAnsi="Times New Roman" w:cs="Times New Roman"/>
          <w:color w:val="000000" w:themeColor="text1"/>
          <w:szCs w:val="26"/>
          <w:lang w:val="vi-VN"/>
        </w:rPr>
        <w:t xml:space="preserve"> chỉ chiếm </w:t>
      </w:r>
      <w:r w:rsidRPr="00050474">
        <w:rPr>
          <w:rFonts w:ascii="Times New Roman" w:hAnsi="Times New Roman" w:cs="Times New Roman"/>
          <w:bCs/>
          <w:color w:val="000000" w:themeColor="text1"/>
          <w:szCs w:val="26"/>
          <w:lang w:val="vi-VN"/>
        </w:rPr>
        <w:t>10,5%</w:t>
      </w:r>
      <w:r w:rsidRPr="00050474">
        <w:rPr>
          <w:rFonts w:ascii="Times New Roman" w:hAnsi="Times New Roman" w:cs="Times New Roman"/>
          <w:color w:val="000000" w:themeColor="text1"/>
          <w:szCs w:val="26"/>
          <w:lang w:val="vi-VN"/>
        </w:rPr>
        <w:t xml:space="preserve">, chủ yếu ở tuyến tỉnh, còn nhóm </w:t>
      </w:r>
      <w:r w:rsidRPr="00050474">
        <w:rPr>
          <w:rFonts w:ascii="Times New Roman" w:hAnsi="Times New Roman" w:cs="Times New Roman"/>
          <w:bCs/>
          <w:color w:val="000000" w:themeColor="text1"/>
          <w:szCs w:val="26"/>
          <w:lang w:val="vi-VN"/>
        </w:rPr>
        <w:t>phụ thuộc NSNN (27,6%)</w:t>
      </w:r>
      <w:r w:rsidRPr="00050474">
        <w:rPr>
          <w:rFonts w:ascii="Times New Roman" w:hAnsi="Times New Roman" w:cs="Times New Roman"/>
          <w:color w:val="000000" w:themeColor="text1"/>
          <w:szCs w:val="26"/>
          <w:lang w:val="vi-VN"/>
        </w:rPr>
        <w:t xml:space="preserve"> tập trung tại tuyến huyện. </w:t>
      </w:r>
    </w:p>
    <w:p w14:paraId="6BBA352B" w14:textId="77777777" w:rsidR="00342633" w:rsidRPr="00050474" w:rsidRDefault="0051710A">
      <w:pPr>
        <w:pStyle w:val="Heading5"/>
        <w:spacing w:line="360" w:lineRule="auto"/>
        <w:ind w:hanging="16"/>
        <w:rPr>
          <w:rFonts w:ascii="Times New Roman" w:hAnsi="Times New Roman"/>
          <w:color w:val="000000" w:themeColor="text1"/>
          <w:sz w:val="26"/>
          <w:szCs w:val="26"/>
          <w:lang w:val="vi-VN"/>
        </w:rPr>
      </w:pPr>
      <w:bookmarkStart w:id="103" w:name="_Toc218532191"/>
      <w:bookmarkStart w:id="104" w:name="_Toc210724169"/>
      <w:bookmarkStart w:id="105" w:name="_Toc222669407"/>
      <w:bookmarkStart w:id="106" w:name="_Toc229148294"/>
      <w:bookmarkStart w:id="107" w:name="_Toc210725628"/>
      <w:bookmarkStart w:id="108" w:name="_Toc210569598"/>
      <w:bookmarkStart w:id="109" w:name="_Toc210568795"/>
      <w:r w:rsidRPr="00050474">
        <w:rPr>
          <w:rFonts w:ascii="Times New Roman" w:hAnsi="Times New Roman"/>
          <w:color w:val="000000" w:themeColor="text1"/>
          <w:sz w:val="26"/>
          <w:szCs w:val="26"/>
          <w:lang w:val="vi-VN"/>
        </w:rPr>
        <w:t>Bảng 2.1: Số lượng bệnh viện công lập tại ĐBSCL</w:t>
      </w:r>
      <w:bookmarkEnd w:id="103"/>
      <w:bookmarkEnd w:id="104"/>
      <w:bookmarkEnd w:id="105"/>
      <w:bookmarkEnd w:id="106"/>
      <w:bookmarkEnd w:id="107"/>
      <w:r w:rsidRPr="00050474">
        <w:rPr>
          <w:rFonts w:ascii="Times New Roman" w:hAnsi="Times New Roman"/>
          <w:color w:val="000000" w:themeColor="text1"/>
          <w:sz w:val="26"/>
          <w:szCs w:val="26"/>
          <w:lang w:val="vi-VN"/>
        </w:rPr>
        <w:t xml:space="preserve"> </w:t>
      </w:r>
    </w:p>
    <w:p w14:paraId="61969E4B" w14:textId="77777777" w:rsidR="00342633" w:rsidRPr="00050474" w:rsidRDefault="0051710A">
      <w:pPr>
        <w:spacing w:line="360" w:lineRule="auto"/>
        <w:rPr>
          <w:rFonts w:ascii="Times New Roman" w:hAnsi="Times New Roman" w:cs="Times New Roman"/>
          <w:i/>
          <w:color w:val="000000" w:themeColor="text1"/>
          <w:szCs w:val="26"/>
        </w:rPr>
      </w:pPr>
      <w:r w:rsidRPr="00050474">
        <w:rPr>
          <w:rFonts w:ascii="Times New Roman" w:hAnsi="Times New Roman" w:cs="Times New Roman"/>
          <w:i/>
          <w:color w:val="000000" w:themeColor="text1"/>
          <w:szCs w:val="26"/>
        </w:rPr>
        <w:t>A: Phân theo tuyến</w:t>
      </w:r>
      <w:bookmarkEnd w:id="108"/>
      <w:bookmarkEnd w:id="109"/>
    </w:p>
    <w:tbl>
      <w:tblPr>
        <w:tblW w:w="878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1318"/>
        <w:gridCol w:w="1276"/>
        <w:gridCol w:w="3827"/>
      </w:tblGrid>
      <w:tr w:rsidR="00050474" w:rsidRPr="00050474" w14:paraId="08C9B15A" w14:textId="77777777">
        <w:trPr>
          <w:trHeight w:val="20"/>
        </w:trPr>
        <w:tc>
          <w:tcPr>
            <w:tcW w:w="2368" w:type="dxa"/>
            <w:vAlign w:val="center"/>
          </w:tcPr>
          <w:p w14:paraId="6A437DD5" w14:textId="77777777" w:rsidR="00342633" w:rsidRPr="00050474" w:rsidRDefault="0051710A">
            <w:pPr>
              <w:spacing w:line="360" w:lineRule="auto"/>
              <w:rPr>
                <w:rFonts w:ascii="Times New Roman" w:hAnsi="Times New Roman" w:cs="Times New Roman"/>
                <w:b/>
                <w:bCs/>
                <w:color w:val="000000" w:themeColor="text1"/>
                <w:szCs w:val="26"/>
              </w:rPr>
            </w:pPr>
            <w:r w:rsidRPr="00050474">
              <w:rPr>
                <w:rFonts w:ascii="Times New Roman" w:hAnsi="Times New Roman" w:cs="Times New Roman"/>
                <w:b/>
                <w:bCs/>
                <w:color w:val="000000" w:themeColor="text1"/>
                <w:szCs w:val="26"/>
              </w:rPr>
              <w:t>Tuyến bệnh viện</w:t>
            </w:r>
          </w:p>
        </w:tc>
        <w:tc>
          <w:tcPr>
            <w:tcW w:w="1318" w:type="dxa"/>
            <w:vAlign w:val="center"/>
          </w:tcPr>
          <w:p w14:paraId="3A3F455F" w14:textId="77777777" w:rsidR="00342633" w:rsidRPr="00050474" w:rsidRDefault="0051710A">
            <w:pPr>
              <w:spacing w:line="360" w:lineRule="auto"/>
              <w:rPr>
                <w:rFonts w:ascii="Times New Roman" w:hAnsi="Times New Roman" w:cs="Times New Roman"/>
                <w:b/>
                <w:bCs/>
                <w:color w:val="000000" w:themeColor="text1"/>
                <w:szCs w:val="26"/>
              </w:rPr>
            </w:pPr>
            <w:r w:rsidRPr="00050474">
              <w:rPr>
                <w:rFonts w:ascii="Times New Roman" w:hAnsi="Times New Roman" w:cs="Times New Roman"/>
                <w:b/>
                <w:bCs/>
                <w:color w:val="000000" w:themeColor="text1"/>
                <w:szCs w:val="26"/>
              </w:rPr>
              <w:t>Số lượng (BV)</w:t>
            </w:r>
          </w:p>
        </w:tc>
        <w:tc>
          <w:tcPr>
            <w:tcW w:w="1276" w:type="dxa"/>
            <w:vAlign w:val="center"/>
          </w:tcPr>
          <w:p w14:paraId="2855240E" w14:textId="77777777" w:rsidR="00342633" w:rsidRPr="00050474" w:rsidRDefault="0051710A">
            <w:pPr>
              <w:spacing w:line="360" w:lineRule="auto"/>
              <w:rPr>
                <w:rFonts w:ascii="Times New Roman" w:hAnsi="Times New Roman" w:cs="Times New Roman"/>
                <w:b/>
                <w:bCs/>
                <w:color w:val="000000" w:themeColor="text1"/>
                <w:szCs w:val="26"/>
              </w:rPr>
            </w:pPr>
            <w:r w:rsidRPr="00050474">
              <w:rPr>
                <w:rFonts w:ascii="Times New Roman" w:hAnsi="Times New Roman" w:cs="Times New Roman"/>
                <w:b/>
                <w:bCs/>
                <w:color w:val="000000" w:themeColor="text1"/>
                <w:szCs w:val="26"/>
              </w:rPr>
              <w:t>Tỷ trọng (%)</w:t>
            </w:r>
          </w:p>
        </w:tc>
        <w:tc>
          <w:tcPr>
            <w:tcW w:w="3827" w:type="dxa"/>
            <w:vAlign w:val="center"/>
          </w:tcPr>
          <w:p w14:paraId="6554FF0E" w14:textId="77777777" w:rsidR="00342633" w:rsidRPr="00050474" w:rsidRDefault="0051710A">
            <w:pPr>
              <w:spacing w:line="360" w:lineRule="auto"/>
              <w:rPr>
                <w:rFonts w:ascii="Times New Roman" w:hAnsi="Times New Roman" w:cs="Times New Roman"/>
                <w:b/>
                <w:bCs/>
                <w:color w:val="000000" w:themeColor="text1"/>
                <w:szCs w:val="26"/>
              </w:rPr>
            </w:pPr>
            <w:r w:rsidRPr="00050474">
              <w:rPr>
                <w:rFonts w:ascii="Times New Roman" w:hAnsi="Times New Roman" w:cs="Times New Roman"/>
                <w:b/>
                <w:bCs/>
                <w:color w:val="000000" w:themeColor="text1"/>
                <w:szCs w:val="26"/>
              </w:rPr>
              <w:t>Đặc điểm hoạt động</w:t>
            </w:r>
          </w:p>
        </w:tc>
      </w:tr>
      <w:tr w:rsidR="00050474" w:rsidRPr="00050474" w14:paraId="205F752D" w14:textId="77777777">
        <w:trPr>
          <w:trHeight w:val="20"/>
        </w:trPr>
        <w:tc>
          <w:tcPr>
            <w:tcW w:w="2368" w:type="dxa"/>
            <w:vAlign w:val="center"/>
          </w:tcPr>
          <w:p w14:paraId="3CA58770"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Tuyến Trung ương</w:t>
            </w:r>
          </w:p>
        </w:tc>
        <w:tc>
          <w:tcPr>
            <w:tcW w:w="1318" w:type="dxa"/>
            <w:vAlign w:val="center"/>
          </w:tcPr>
          <w:p w14:paraId="3549A0F1"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1</w:t>
            </w:r>
          </w:p>
        </w:tc>
        <w:tc>
          <w:tcPr>
            <w:tcW w:w="1276" w:type="dxa"/>
            <w:vAlign w:val="center"/>
          </w:tcPr>
          <w:p w14:paraId="64AFFB71"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0,5</w:t>
            </w:r>
          </w:p>
        </w:tc>
        <w:tc>
          <w:tcPr>
            <w:tcW w:w="3827" w:type="dxa"/>
            <w:vAlign w:val="center"/>
          </w:tcPr>
          <w:p w14:paraId="4E4DF93D"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Đặt tại Cần Thơ, phục vụ toàn vùng</w:t>
            </w:r>
          </w:p>
        </w:tc>
      </w:tr>
      <w:tr w:rsidR="00050474" w:rsidRPr="00050474" w14:paraId="4BC3004B" w14:textId="77777777">
        <w:trPr>
          <w:trHeight w:val="20"/>
        </w:trPr>
        <w:tc>
          <w:tcPr>
            <w:tcW w:w="2368" w:type="dxa"/>
            <w:vAlign w:val="center"/>
          </w:tcPr>
          <w:p w14:paraId="091EF4ED"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Tuyến tỉnh/thành phố</w:t>
            </w:r>
          </w:p>
        </w:tc>
        <w:tc>
          <w:tcPr>
            <w:tcW w:w="1318" w:type="dxa"/>
            <w:vAlign w:val="center"/>
          </w:tcPr>
          <w:p w14:paraId="03A6D6B5"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37</w:t>
            </w:r>
          </w:p>
        </w:tc>
        <w:tc>
          <w:tcPr>
            <w:tcW w:w="1276" w:type="dxa"/>
            <w:vAlign w:val="center"/>
          </w:tcPr>
          <w:p w14:paraId="3287907B"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17,6</w:t>
            </w:r>
          </w:p>
        </w:tc>
        <w:tc>
          <w:tcPr>
            <w:tcW w:w="3827" w:type="dxa"/>
            <w:vAlign w:val="center"/>
          </w:tcPr>
          <w:p w14:paraId="15BE9767"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Bệnh viện đa khoa tỉnh, chuyên khoa tuyến tỉnh</w:t>
            </w:r>
          </w:p>
        </w:tc>
      </w:tr>
      <w:tr w:rsidR="00050474" w:rsidRPr="00050474" w14:paraId="76C38B03" w14:textId="77777777">
        <w:trPr>
          <w:trHeight w:val="20"/>
        </w:trPr>
        <w:tc>
          <w:tcPr>
            <w:tcW w:w="2368" w:type="dxa"/>
            <w:vAlign w:val="center"/>
          </w:tcPr>
          <w:p w14:paraId="12EF07BA"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Tuyến huyện/quận</w:t>
            </w:r>
          </w:p>
        </w:tc>
        <w:tc>
          <w:tcPr>
            <w:tcW w:w="1318" w:type="dxa"/>
            <w:vAlign w:val="center"/>
          </w:tcPr>
          <w:p w14:paraId="7708332C"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138</w:t>
            </w:r>
          </w:p>
        </w:tc>
        <w:tc>
          <w:tcPr>
            <w:tcW w:w="1276" w:type="dxa"/>
            <w:vAlign w:val="center"/>
          </w:tcPr>
          <w:p w14:paraId="10A01F91"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65,7</w:t>
            </w:r>
          </w:p>
        </w:tc>
        <w:tc>
          <w:tcPr>
            <w:tcW w:w="3827" w:type="dxa"/>
            <w:vAlign w:val="center"/>
          </w:tcPr>
          <w:p w14:paraId="69E7A576"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Chủ yếu bệnh viện đa khoa huyện/quận</w:t>
            </w:r>
          </w:p>
        </w:tc>
      </w:tr>
      <w:tr w:rsidR="00050474" w:rsidRPr="00050474" w14:paraId="634D3D29" w14:textId="77777777">
        <w:trPr>
          <w:trHeight w:val="20"/>
        </w:trPr>
        <w:tc>
          <w:tcPr>
            <w:tcW w:w="2368" w:type="dxa"/>
            <w:vAlign w:val="center"/>
          </w:tcPr>
          <w:p w14:paraId="46B8E88D"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lastRenderedPageBreak/>
              <w:t>Bệnh viện chuyên khoa vùng</w:t>
            </w:r>
          </w:p>
        </w:tc>
        <w:tc>
          <w:tcPr>
            <w:tcW w:w="1318" w:type="dxa"/>
            <w:vAlign w:val="center"/>
          </w:tcPr>
          <w:p w14:paraId="3EBE49CE"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34</w:t>
            </w:r>
          </w:p>
        </w:tc>
        <w:tc>
          <w:tcPr>
            <w:tcW w:w="1276" w:type="dxa"/>
            <w:vAlign w:val="center"/>
          </w:tcPr>
          <w:p w14:paraId="252242D9"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16,2</w:t>
            </w:r>
          </w:p>
        </w:tc>
        <w:tc>
          <w:tcPr>
            <w:tcW w:w="3827" w:type="dxa"/>
            <w:vAlign w:val="center"/>
          </w:tcPr>
          <w:p w14:paraId="2E6B3E99" w14:textId="77777777" w:rsidR="00342633" w:rsidRPr="00050474" w:rsidRDefault="0051710A">
            <w:pPr>
              <w:spacing w:line="360" w:lineRule="auto"/>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Tuyến cao, phục vụ liên tỉnh, gồm các chuyên khoa sâu</w:t>
            </w:r>
          </w:p>
        </w:tc>
      </w:tr>
      <w:tr w:rsidR="00050474" w:rsidRPr="00050474" w14:paraId="3D813B4B" w14:textId="77777777">
        <w:trPr>
          <w:trHeight w:val="20"/>
        </w:trPr>
        <w:tc>
          <w:tcPr>
            <w:tcW w:w="2368" w:type="dxa"/>
            <w:vAlign w:val="center"/>
          </w:tcPr>
          <w:p w14:paraId="253035F9" w14:textId="77777777" w:rsidR="00342633" w:rsidRPr="00050474" w:rsidRDefault="0051710A">
            <w:pPr>
              <w:spacing w:line="360" w:lineRule="auto"/>
              <w:rPr>
                <w:rFonts w:ascii="Times New Roman" w:hAnsi="Times New Roman" w:cs="Times New Roman"/>
                <w:b/>
                <w:bCs/>
                <w:color w:val="000000" w:themeColor="text1"/>
                <w:szCs w:val="26"/>
              </w:rPr>
            </w:pPr>
            <w:r w:rsidRPr="00050474">
              <w:rPr>
                <w:rFonts w:ascii="Times New Roman" w:hAnsi="Times New Roman" w:cs="Times New Roman"/>
                <w:b/>
                <w:bCs/>
                <w:color w:val="000000" w:themeColor="text1"/>
                <w:szCs w:val="26"/>
              </w:rPr>
              <w:t>Tổng cộng</w:t>
            </w:r>
          </w:p>
        </w:tc>
        <w:tc>
          <w:tcPr>
            <w:tcW w:w="1318" w:type="dxa"/>
            <w:vAlign w:val="center"/>
          </w:tcPr>
          <w:p w14:paraId="45935066" w14:textId="77777777" w:rsidR="00342633" w:rsidRPr="00050474" w:rsidRDefault="0051710A">
            <w:pPr>
              <w:spacing w:line="360" w:lineRule="auto"/>
              <w:rPr>
                <w:rFonts w:ascii="Times New Roman" w:hAnsi="Times New Roman" w:cs="Times New Roman"/>
                <w:b/>
                <w:bCs/>
                <w:color w:val="000000" w:themeColor="text1"/>
                <w:szCs w:val="26"/>
              </w:rPr>
            </w:pPr>
            <w:r w:rsidRPr="00050474">
              <w:rPr>
                <w:rFonts w:ascii="Times New Roman" w:hAnsi="Times New Roman" w:cs="Times New Roman"/>
                <w:b/>
                <w:bCs/>
                <w:color w:val="000000" w:themeColor="text1"/>
                <w:szCs w:val="26"/>
              </w:rPr>
              <w:t>210</w:t>
            </w:r>
          </w:p>
        </w:tc>
        <w:tc>
          <w:tcPr>
            <w:tcW w:w="1276" w:type="dxa"/>
            <w:vAlign w:val="center"/>
          </w:tcPr>
          <w:p w14:paraId="3F8022B6" w14:textId="77777777" w:rsidR="00342633" w:rsidRPr="00050474" w:rsidRDefault="0051710A">
            <w:pPr>
              <w:spacing w:line="360" w:lineRule="auto"/>
              <w:rPr>
                <w:rFonts w:ascii="Times New Roman" w:hAnsi="Times New Roman" w:cs="Times New Roman"/>
                <w:b/>
                <w:bCs/>
                <w:color w:val="000000" w:themeColor="text1"/>
                <w:szCs w:val="26"/>
              </w:rPr>
            </w:pPr>
            <w:r w:rsidRPr="00050474">
              <w:rPr>
                <w:rFonts w:ascii="Times New Roman" w:hAnsi="Times New Roman" w:cs="Times New Roman"/>
                <w:b/>
                <w:bCs/>
                <w:color w:val="000000" w:themeColor="text1"/>
                <w:szCs w:val="26"/>
              </w:rPr>
              <w:t>100</w:t>
            </w:r>
          </w:p>
        </w:tc>
        <w:tc>
          <w:tcPr>
            <w:tcW w:w="3827" w:type="dxa"/>
            <w:vAlign w:val="center"/>
          </w:tcPr>
          <w:p w14:paraId="31C068CC" w14:textId="77777777" w:rsidR="00342633" w:rsidRPr="00050474" w:rsidRDefault="00342633">
            <w:pPr>
              <w:spacing w:line="360" w:lineRule="auto"/>
              <w:rPr>
                <w:rFonts w:ascii="Times New Roman" w:hAnsi="Times New Roman" w:cs="Times New Roman"/>
                <w:b/>
                <w:bCs/>
                <w:color w:val="000000" w:themeColor="text1"/>
                <w:szCs w:val="26"/>
              </w:rPr>
            </w:pPr>
          </w:p>
        </w:tc>
      </w:tr>
    </w:tbl>
    <w:p w14:paraId="04552290" w14:textId="77777777" w:rsidR="00D36138" w:rsidRPr="00050474" w:rsidRDefault="00D36138">
      <w:pPr>
        <w:spacing w:line="360" w:lineRule="auto"/>
        <w:jc w:val="both"/>
        <w:rPr>
          <w:rFonts w:ascii="Times New Roman" w:hAnsi="Times New Roman" w:cs="Times New Roman"/>
          <w:i/>
          <w:color w:val="000000" w:themeColor="text1"/>
          <w:szCs w:val="26"/>
        </w:rPr>
      </w:pPr>
    </w:p>
    <w:p w14:paraId="21CC7647" w14:textId="473CD8C7" w:rsidR="00342633" w:rsidRPr="00050474" w:rsidRDefault="0051710A">
      <w:pPr>
        <w:spacing w:line="360" w:lineRule="auto"/>
        <w:jc w:val="both"/>
        <w:rPr>
          <w:rFonts w:ascii="Times New Roman" w:hAnsi="Times New Roman" w:cs="Times New Roman"/>
          <w:i/>
          <w:color w:val="000000" w:themeColor="text1"/>
          <w:szCs w:val="26"/>
        </w:rPr>
      </w:pPr>
      <w:r w:rsidRPr="00050474">
        <w:rPr>
          <w:rFonts w:ascii="Times New Roman" w:hAnsi="Times New Roman" w:cs="Times New Roman"/>
          <w:i/>
          <w:color w:val="000000" w:themeColor="text1"/>
          <w:szCs w:val="26"/>
        </w:rPr>
        <w:t>B: Phân theo Tỉnh/Thành phố</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41"/>
        <w:gridCol w:w="818"/>
        <w:gridCol w:w="1276"/>
        <w:gridCol w:w="821"/>
        <w:gridCol w:w="932"/>
        <w:gridCol w:w="3074"/>
      </w:tblGrid>
      <w:tr w:rsidR="00342633" w:rsidRPr="00050474" w14:paraId="7A831849" w14:textId="77777777">
        <w:trPr>
          <w:trHeight w:val="605"/>
          <w:tblHeader/>
          <w:jc w:val="center"/>
        </w:trPr>
        <w:tc>
          <w:tcPr>
            <w:tcW w:w="1413" w:type="dxa"/>
            <w:shd w:val="clear" w:color="auto" w:fill="auto"/>
            <w:vAlign w:val="center"/>
          </w:tcPr>
          <w:p w14:paraId="3BE246F4"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Tỉnh/Thành phố (sau sáp nhập)</w:t>
            </w:r>
          </w:p>
        </w:tc>
        <w:tc>
          <w:tcPr>
            <w:tcW w:w="741" w:type="dxa"/>
            <w:shd w:val="clear" w:color="auto" w:fill="auto"/>
            <w:vAlign w:val="center"/>
          </w:tcPr>
          <w:p w14:paraId="72C8CB37"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Tổng số</w:t>
            </w:r>
          </w:p>
        </w:tc>
        <w:tc>
          <w:tcPr>
            <w:tcW w:w="818" w:type="dxa"/>
            <w:shd w:val="clear" w:color="auto" w:fill="auto"/>
            <w:vAlign w:val="center"/>
          </w:tcPr>
          <w:p w14:paraId="1C28EF40"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Tuyến Trung ương</w:t>
            </w:r>
          </w:p>
        </w:tc>
        <w:tc>
          <w:tcPr>
            <w:tcW w:w="1276" w:type="dxa"/>
            <w:shd w:val="clear" w:color="auto" w:fill="auto"/>
            <w:vAlign w:val="center"/>
          </w:tcPr>
          <w:p w14:paraId="696F1DE0"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Tuyến tỉnh/thành phố</w:t>
            </w:r>
          </w:p>
        </w:tc>
        <w:tc>
          <w:tcPr>
            <w:tcW w:w="821" w:type="dxa"/>
            <w:shd w:val="clear" w:color="auto" w:fill="auto"/>
            <w:vAlign w:val="center"/>
          </w:tcPr>
          <w:p w14:paraId="66D9F9FB"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Tuyến huyện/quận</w:t>
            </w:r>
          </w:p>
        </w:tc>
        <w:tc>
          <w:tcPr>
            <w:tcW w:w="932" w:type="dxa"/>
            <w:shd w:val="clear" w:color="auto" w:fill="auto"/>
            <w:vAlign w:val="center"/>
          </w:tcPr>
          <w:p w14:paraId="535809B2"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Bệnh viện chuyên khoa</w:t>
            </w:r>
          </w:p>
        </w:tc>
        <w:tc>
          <w:tcPr>
            <w:tcW w:w="3074" w:type="dxa"/>
            <w:shd w:val="clear" w:color="auto" w:fill="auto"/>
            <w:vAlign w:val="center"/>
          </w:tcPr>
          <w:p w14:paraId="7378C0A3"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Ghi chú</w:t>
            </w:r>
          </w:p>
        </w:tc>
      </w:tr>
      <w:tr w:rsidR="00342633" w:rsidRPr="00050474" w14:paraId="497480C5" w14:textId="77777777">
        <w:trPr>
          <w:trHeight w:val="605"/>
          <w:jc w:val="center"/>
        </w:trPr>
        <w:tc>
          <w:tcPr>
            <w:tcW w:w="1413" w:type="dxa"/>
            <w:shd w:val="clear" w:color="auto" w:fill="auto"/>
            <w:noWrap/>
            <w:vAlign w:val="center"/>
          </w:tcPr>
          <w:p w14:paraId="12479817"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 xml:space="preserve">Cần Thơ </w:t>
            </w:r>
          </w:p>
        </w:tc>
        <w:tc>
          <w:tcPr>
            <w:tcW w:w="741" w:type="dxa"/>
            <w:shd w:val="clear" w:color="auto" w:fill="auto"/>
            <w:noWrap/>
            <w:vAlign w:val="center"/>
          </w:tcPr>
          <w:p w14:paraId="5FA26FAA"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45</w:t>
            </w:r>
          </w:p>
        </w:tc>
        <w:tc>
          <w:tcPr>
            <w:tcW w:w="818" w:type="dxa"/>
            <w:shd w:val="clear" w:color="auto" w:fill="auto"/>
            <w:noWrap/>
            <w:vAlign w:val="center"/>
          </w:tcPr>
          <w:p w14:paraId="75A2A745"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1</w:t>
            </w:r>
          </w:p>
        </w:tc>
        <w:tc>
          <w:tcPr>
            <w:tcW w:w="1276" w:type="dxa"/>
            <w:shd w:val="clear" w:color="auto" w:fill="auto"/>
            <w:noWrap/>
            <w:vAlign w:val="center"/>
          </w:tcPr>
          <w:p w14:paraId="7BF7EC16"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7</w:t>
            </w:r>
          </w:p>
        </w:tc>
        <w:tc>
          <w:tcPr>
            <w:tcW w:w="821" w:type="dxa"/>
            <w:shd w:val="clear" w:color="auto" w:fill="auto"/>
            <w:noWrap/>
            <w:vAlign w:val="center"/>
          </w:tcPr>
          <w:p w14:paraId="71290917"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30</w:t>
            </w:r>
          </w:p>
        </w:tc>
        <w:tc>
          <w:tcPr>
            <w:tcW w:w="932" w:type="dxa"/>
            <w:shd w:val="clear" w:color="auto" w:fill="auto"/>
            <w:noWrap/>
            <w:vAlign w:val="center"/>
          </w:tcPr>
          <w:p w14:paraId="4E4EB65C"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7</w:t>
            </w:r>
          </w:p>
        </w:tc>
        <w:tc>
          <w:tcPr>
            <w:tcW w:w="3074" w:type="dxa"/>
            <w:shd w:val="clear" w:color="auto" w:fill="auto"/>
            <w:vAlign w:val="center"/>
          </w:tcPr>
          <w:p w14:paraId="3CB6BCC4"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Bệnh viện Trung ương; Nhi Đồng, Tim mạch, Y học Cổ truyền, Sản Nhi, Da liễu, Tâm thần</w:t>
            </w:r>
          </w:p>
        </w:tc>
      </w:tr>
      <w:tr w:rsidR="00342633" w:rsidRPr="00050474" w14:paraId="2058653D" w14:textId="77777777">
        <w:trPr>
          <w:trHeight w:val="605"/>
          <w:jc w:val="center"/>
        </w:trPr>
        <w:tc>
          <w:tcPr>
            <w:tcW w:w="1413" w:type="dxa"/>
            <w:shd w:val="clear" w:color="auto" w:fill="auto"/>
            <w:noWrap/>
            <w:vAlign w:val="center"/>
          </w:tcPr>
          <w:p w14:paraId="157CF00B"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 xml:space="preserve">Kiên Giang </w:t>
            </w:r>
          </w:p>
        </w:tc>
        <w:tc>
          <w:tcPr>
            <w:tcW w:w="741" w:type="dxa"/>
            <w:shd w:val="clear" w:color="auto" w:fill="auto"/>
            <w:noWrap/>
            <w:vAlign w:val="center"/>
          </w:tcPr>
          <w:p w14:paraId="75118DBD"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38</w:t>
            </w:r>
          </w:p>
        </w:tc>
        <w:tc>
          <w:tcPr>
            <w:tcW w:w="818" w:type="dxa"/>
            <w:shd w:val="clear" w:color="auto" w:fill="auto"/>
            <w:noWrap/>
            <w:vAlign w:val="center"/>
          </w:tcPr>
          <w:p w14:paraId="3D779142"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0</w:t>
            </w:r>
          </w:p>
        </w:tc>
        <w:tc>
          <w:tcPr>
            <w:tcW w:w="1276" w:type="dxa"/>
            <w:shd w:val="clear" w:color="auto" w:fill="auto"/>
            <w:noWrap/>
            <w:vAlign w:val="center"/>
          </w:tcPr>
          <w:p w14:paraId="2F0C65B9"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9</w:t>
            </w:r>
          </w:p>
        </w:tc>
        <w:tc>
          <w:tcPr>
            <w:tcW w:w="821" w:type="dxa"/>
            <w:shd w:val="clear" w:color="auto" w:fill="auto"/>
            <w:noWrap/>
            <w:vAlign w:val="center"/>
          </w:tcPr>
          <w:p w14:paraId="09A72E65"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23</w:t>
            </w:r>
          </w:p>
        </w:tc>
        <w:tc>
          <w:tcPr>
            <w:tcW w:w="932" w:type="dxa"/>
            <w:shd w:val="clear" w:color="auto" w:fill="auto"/>
            <w:noWrap/>
            <w:vAlign w:val="center"/>
          </w:tcPr>
          <w:p w14:paraId="6DAB9767"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6</w:t>
            </w:r>
          </w:p>
        </w:tc>
        <w:tc>
          <w:tcPr>
            <w:tcW w:w="3074" w:type="dxa"/>
            <w:shd w:val="clear" w:color="auto" w:fill="auto"/>
            <w:vAlign w:val="center"/>
          </w:tcPr>
          <w:p w14:paraId="6ADC4BE4"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Tim mạch, Lao và Phổi, Ung bướu, Y học Cổ truyền, Tâm thần, Sản Nhi</w:t>
            </w:r>
          </w:p>
        </w:tc>
      </w:tr>
      <w:tr w:rsidR="00342633" w:rsidRPr="00050474" w14:paraId="66CD5D05" w14:textId="77777777">
        <w:trPr>
          <w:trHeight w:val="605"/>
          <w:jc w:val="center"/>
        </w:trPr>
        <w:tc>
          <w:tcPr>
            <w:tcW w:w="1413" w:type="dxa"/>
            <w:shd w:val="clear" w:color="auto" w:fill="auto"/>
            <w:noWrap/>
            <w:vAlign w:val="center"/>
          </w:tcPr>
          <w:p w14:paraId="7A308EED"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 xml:space="preserve">Vĩnh Long </w:t>
            </w:r>
          </w:p>
        </w:tc>
        <w:tc>
          <w:tcPr>
            <w:tcW w:w="741" w:type="dxa"/>
            <w:shd w:val="clear" w:color="auto" w:fill="auto"/>
            <w:noWrap/>
            <w:vAlign w:val="center"/>
          </w:tcPr>
          <w:p w14:paraId="33E81C06"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47</w:t>
            </w:r>
          </w:p>
        </w:tc>
        <w:tc>
          <w:tcPr>
            <w:tcW w:w="818" w:type="dxa"/>
            <w:shd w:val="clear" w:color="auto" w:fill="auto"/>
            <w:noWrap/>
            <w:vAlign w:val="center"/>
          </w:tcPr>
          <w:p w14:paraId="6A87EAD1"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0</w:t>
            </w:r>
          </w:p>
        </w:tc>
        <w:tc>
          <w:tcPr>
            <w:tcW w:w="1276" w:type="dxa"/>
            <w:shd w:val="clear" w:color="auto" w:fill="auto"/>
            <w:noWrap/>
            <w:vAlign w:val="center"/>
          </w:tcPr>
          <w:p w14:paraId="7B484F8E"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8</w:t>
            </w:r>
          </w:p>
        </w:tc>
        <w:tc>
          <w:tcPr>
            <w:tcW w:w="821" w:type="dxa"/>
            <w:shd w:val="clear" w:color="auto" w:fill="auto"/>
            <w:noWrap/>
            <w:vAlign w:val="center"/>
          </w:tcPr>
          <w:p w14:paraId="2020EF8D"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30</w:t>
            </w:r>
          </w:p>
        </w:tc>
        <w:tc>
          <w:tcPr>
            <w:tcW w:w="932" w:type="dxa"/>
            <w:shd w:val="clear" w:color="auto" w:fill="auto"/>
            <w:noWrap/>
            <w:vAlign w:val="center"/>
          </w:tcPr>
          <w:p w14:paraId="2A92BC88"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9</w:t>
            </w:r>
          </w:p>
        </w:tc>
        <w:tc>
          <w:tcPr>
            <w:tcW w:w="3074" w:type="dxa"/>
            <w:shd w:val="clear" w:color="auto" w:fill="auto"/>
            <w:vAlign w:val="center"/>
          </w:tcPr>
          <w:p w14:paraId="5A576BBF"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Mắt, Y học Cổ truyền, Phổi, Phụ sản, Da liễu, Tâm thần</w:t>
            </w:r>
          </w:p>
        </w:tc>
      </w:tr>
      <w:tr w:rsidR="00342633" w:rsidRPr="00050474" w14:paraId="6969E6DE" w14:textId="77777777">
        <w:trPr>
          <w:trHeight w:val="605"/>
          <w:jc w:val="center"/>
        </w:trPr>
        <w:tc>
          <w:tcPr>
            <w:tcW w:w="1413" w:type="dxa"/>
            <w:shd w:val="clear" w:color="auto" w:fill="auto"/>
            <w:noWrap/>
            <w:vAlign w:val="center"/>
          </w:tcPr>
          <w:p w14:paraId="6F767276"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 xml:space="preserve">Đồng Tháp </w:t>
            </w:r>
          </w:p>
        </w:tc>
        <w:tc>
          <w:tcPr>
            <w:tcW w:w="741" w:type="dxa"/>
            <w:shd w:val="clear" w:color="auto" w:fill="auto"/>
            <w:noWrap/>
            <w:vAlign w:val="center"/>
          </w:tcPr>
          <w:p w14:paraId="2E121D6B"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37</w:t>
            </w:r>
          </w:p>
        </w:tc>
        <w:tc>
          <w:tcPr>
            <w:tcW w:w="818" w:type="dxa"/>
            <w:shd w:val="clear" w:color="auto" w:fill="auto"/>
            <w:noWrap/>
            <w:vAlign w:val="center"/>
          </w:tcPr>
          <w:p w14:paraId="07FF51CA"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0</w:t>
            </w:r>
          </w:p>
        </w:tc>
        <w:tc>
          <w:tcPr>
            <w:tcW w:w="1276" w:type="dxa"/>
            <w:shd w:val="clear" w:color="auto" w:fill="auto"/>
            <w:noWrap/>
            <w:vAlign w:val="center"/>
          </w:tcPr>
          <w:p w14:paraId="68F16389"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8</w:t>
            </w:r>
          </w:p>
        </w:tc>
        <w:tc>
          <w:tcPr>
            <w:tcW w:w="821" w:type="dxa"/>
            <w:shd w:val="clear" w:color="auto" w:fill="auto"/>
            <w:noWrap/>
            <w:vAlign w:val="center"/>
          </w:tcPr>
          <w:p w14:paraId="0F845E9B"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24</w:t>
            </w:r>
          </w:p>
        </w:tc>
        <w:tc>
          <w:tcPr>
            <w:tcW w:w="932" w:type="dxa"/>
            <w:shd w:val="clear" w:color="auto" w:fill="auto"/>
            <w:noWrap/>
            <w:vAlign w:val="center"/>
          </w:tcPr>
          <w:p w14:paraId="642E1FFF"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5</w:t>
            </w:r>
          </w:p>
        </w:tc>
        <w:tc>
          <w:tcPr>
            <w:tcW w:w="3074" w:type="dxa"/>
            <w:shd w:val="clear" w:color="auto" w:fill="auto"/>
            <w:vAlign w:val="center"/>
          </w:tcPr>
          <w:p w14:paraId="588E629C"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Hệ thống bệnh viện đa khoa huyện phát triển; có nhiều bệnh viện phụ sản và lao phổi</w:t>
            </w:r>
          </w:p>
        </w:tc>
      </w:tr>
      <w:tr w:rsidR="00342633" w:rsidRPr="00050474" w14:paraId="145ADF48" w14:textId="77777777">
        <w:trPr>
          <w:trHeight w:val="605"/>
          <w:jc w:val="center"/>
        </w:trPr>
        <w:tc>
          <w:tcPr>
            <w:tcW w:w="1413" w:type="dxa"/>
            <w:shd w:val="clear" w:color="auto" w:fill="auto"/>
            <w:noWrap/>
            <w:vAlign w:val="center"/>
          </w:tcPr>
          <w:p w14:paraId="1ECAB794"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 xml:space="preserve">Cà Mau </w:t>
            </w:r>
          </w:p>
        </w:tc>
        <w:tc>
          <w:tcPr>
            <w:tcW w:w="741" w:type="dxa"/>
            <w:shd w:val="clear" w:color="auto" w:fill="auto"/>
            <w:noWrap/>
            <w:vAlign w:val="center"/>
          </w:tcPr>
          <w:p w14:paraId="61F175F1"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25</w:t>
            </w:r>
          </w:p>
        </w:tc>
        <w:tc>
          <w:tcPr>
            <w:tcW w:w="818" w:type="dxa"/>
            <w:shd w:val="clear" w:color="auto" w:fill="auto"/>
            <w:noWrap/>
            <w:vAlign w:val="center"/>
          </w:tcPr>
          <w:p w14:paraId="07467BD7"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0</w:t>
            </w:r>
          </w:p>
        </w:tc>
        <w:tc>
          <w:tcPr>
            <w:tcW w:w="1276" w:type="dxa"/>
            <w:shd w:val="clear" w:color="auto" w:fill="auto"/>
            <w:noWrap/>
            <w:vAlign w:val="center"/>
          </w:tcPr>
          <w:p w14:paraId="3609A00D"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2</w:t>
            </w:r>
          </w:p>
        </w:tc>
        <w:tc>
          <w:tcPr>
            <w:tcW w:w="821" w:type="dxa"/>
            <w:shd w:val="clear" w:color="auto" w:fill="auto"/>
            <w:noWrap/>
            <w:vAlign w:val="center"/>
          </w:tcPr>
          <w:p w14:paraId="2A4DEE5D"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19</w:t>
            </w:r>
          </w:p>
        </w:tc>
        <w:tc>
          <w:tcPr>
            <w:tcW w:w="932" w:type="dxa"/>
            <w:shd w:val="clear" w:color="auto" w:fill="auto"/>
            <w:noWrap/>
            <w:vAlign w:val="center"/>
          </w:tcPr>
          <w:p w14:paraId="0ABE1EE2"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4</w:t>
            </w:r>
          </w:p>
        </w:tc>
        <w:tc>
          <w:tcPr>
            <w:tcW w:w="3074" w:type="dxa"/>
            <w:shd w:val="clear" w:color="auto" w:fill="auto"/>
            <w:vAlign w:val="center"/>
          </w:tcPr>
          <w:p w14:paraId="3AB38750"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Nhiều Bệnh viện huyện và chuyên khoa phục hồi chức năng, sản nhi, Y học Cổ truyền</w:t>
            </w:r>
          </w:p>
        </w:tc>
      </w:tr>
      <w:tr w:rsidR="00342633" w:rsidRPr="00050474" w14:paraId="2835D998" w14:textId="77777777">
        <w:trPr>
          <w:trHeight w:val="201"/>
          <w:jc w:val="center"/>
        </w:trPr>
        <w:tc>
          <w:tcPr>
            <w:tcW w:w="1413" w:type="dxa"/>
            <w:shd w:val="clear" w:color="auto" w:fill="auto"/>
            <w:noWrap/>
            <w:vAlign w:val="center"/>
          </w:tcPr>
          <w:p w14:paraId="7D34911D" w14:textId="4FD762CF"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Tây Ninh</w:t>
            </w:r>
          </w:p>
        </w:tc>
        <w:tc>
          <w:tcPr>
            <w:tcW w:w="741" w:type="dxa"/>
            <w:shd w:val="clear" w:color="auto" w:fill="auto"/>
            <w:vAlign w:val="center"/>
          </w:tcPr>
          <w:p w14:paraId="64AFFC12"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18</w:t>
            </w:r>
          </w:p>
        </w:tc>
        <w:tc>
          <w:tcPr>
            <w:tcW w:w="818" w:type="dxa"/>
            <w:shd w:val="clear" w:color="auto" w:fill="auto"/>
            <w:vAlign w:val="center"/>
          </w:tcPr>
          <w:p w14:paraId="4E66262A"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0</w:t>
            </w:r>
          </w:p>
        </w:tc>
        <w:tc>
          <w:tcPr>
            <w:tcW w:w="1276" w:type="dxa"/>
            <w:shd w:val="clear" w:color="auto" w:fill="auto"/>
            <w:vAlign w:val="center"/>
          </w:tcPr>
          <w:p w14:paraId="3FD2FB1D"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3</w:t>
            </w:r>
          </w:p>
        </w:tc>
        <w:tc>
          <w:tcPr>
            <w:tcW w:w="821" w:type="dxa"/>
            <w:shd w:val="clear" w:color="auto" w:fill="auto"/>
            <w:vAlign w:val="center"/>
          </w:tcPr>
          <w:p w14:paraId="1BF869EB"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12</w:t>
            </w:r>
          </w:p>
        </w:tc>
        <w:tc>
          <w:tcPr>
            <w:tcW w:w="932" w:type="dxa"/>
            <w:shd w:val="clear" w:color="auto" w:fill="auto"/>
            <w:vAlign w:val="center"/>
          </w:tcPr>
          <w:p w14:paraId="240422CE" w14:textId="77777777" w:rsidR="00342633" w:rsidRPr="00050474" w:rsidRDefault="0051710A">
            <w:pPr>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3</w:t>
            </w:r>
          </w:p>
        </w:tc>
        <w:tc>
          <w:tcPr>
            <w:tcW w:w="3074" w:type="dxa"/>
            <w:shd w:val="clear" w:color="auto" w:fill="auto"/>
            <w:vAlign w:val="center"/>
          </w:tcPr>
          <w:p w14:paraId="4DB808C9" w14:textId="77777777" w:rsidR="00342633" w:rsidRPr="00050474" w:rsidRDefault="0051710A">
            <w:pP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Y học Cổ truyền, Phổi, Tâm Thần</w:t>
            </w:r>
          </w:p>
        </w:tc>
      </w:tr>
      <w:tr w:rsidR="00342633" w:rsidRPr="00050474" w14:paraId="499373A2" w14:textId="77777777">
        <w:trPr>
          <w:trHeight w:val="41"/>
          <w:jc w:val="center"/>
        </w:trPr>
        <w:tc>
          <w:tcPr>
            <w:tcW w:w="1413" w:type="dxa"/>
            <w:shd w:val="clear" w:color="auto" w:fill="auto"/>
            <w:vAlign w:val="center"/>
          </w:tcPr>
          <w:p w14:paraId="34E95624" w14:textId="77777777" w:rsidR="00342633" w:rsidRPr="00050474" w:rsidRDefault="0051710A">
            <w:pP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Tổng cộng</w:t>
            </w:r>
          </w:p>
        </w:tc>
        <w:tc>
          <w:tcPr>
            <w:tcW w:w="741" w:type="dxa"/>
            <w:shd w:val="clear" w:color="auto" w:fill="auto"/>
            <w:vAlign w:val="center"/>
          </w:tcPr>
          <w:p w14:paraId="769A6636"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210</w:t>
            </w:r>
          </w:p>
        </w:tc>
        <w:tc>
          <w:tcPr>
            <w:tcW w:w="818" w:type="dxa"/>
            <w:shd w:val="clear" w:color="auto" w:fill="auto"/>
            <w:vAlign w:val="center"/>
          </w:tcPr>
          <w:p w14:paraId="1C501C3B"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1</w:t>
            </w:r>
          </w:p>
        </w:tc>
        <w:tc>
          <w:tcPr>
            <w:tcW w:w="1276" w:type="dxa"/>
            <w:shd w:val="clear" w:color="auto" w:fill="auto"/>
            <w:vAlign w:val="center"/>
          </w:tcPr>
          <w:p w14:paraId="4857CB97"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37</w:t>
            </w:r>
          </w:p>
        </w:tc>
        <w:tc>
          <w:tcPr>
            <w:tcW w:w="821" w:type="dxa"/>
            <w:shd w:val="clear" w:color="auto" w:fill="auto"/>
            <w:vAlign w:val="center"/>
          </w:tcPr>
          <w:p w14:paraId="6B2A369F"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138</w:t>
            </w:r>
          </w:p>
        </w:tc>
        <w:tc>
          <w:tcPr>
            <w:tcW w:w="932" w:type="dxa"/>
            <w:shd w:val="clear" w:color="auto" w:fill="auto"/>
            <w:vAlign w:val="center"/>
          </w:tcPr>
          <w:p w14:paraId="4D7E58A3" w14:textId="77777777" w:rsidR="00342633" w:rsidRPr="00050474" w:rsidRDefault="0051710A">
            <w:pPr>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34</w:t>
            </w:r>
          </w:p>
        </w:tc>
        <w:tc>
          <w:tcPr>
            <w:tcW w:w="3074" w:type="dxa"/>
            <w:shd w:val="clear" w:color="auto" w:fill="auto"/>
            <w:vAlign w:val="bottom"/>
          </w:tcPr>
          <w:p w14:paraId="031B4E32" w14:textId="77777777" w:rsidR="00342633" w:rsidRPr="00050474" w:rsidRDefault="0051710A">
            <w:pP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 </w:t>
            </w:r>
          </w:p>
        </w:tc>
      </w:tr>
    </w:tbl>
    <w:p w14:paraId="38C7F2C8" w14:textId="77777777" w:rsidR="00342633" w:rsidRPr="00050474" w:rsidRDefault="0051710A">
      <w:pPr>
        <w:spacing w:line="360" w:lineRule="auto"/>
        <w:jc w:val="right"/>
        <w:rPr>
          <w:rFonts w:ascii="Times New Roman" w:hAnsi="Times New Roman" w:cs="Times New Roman"/>
          <w:color w:val="000000" w:themeColor="text1"/>
          <w:szCs w:val="26"/>
        </w:rPr>
      </w:pPr>
      <w:r w:rsidRPr="00050474">
        <w:rPr>
          <w:rFonts w:ascii="Times New Roman" w:hAnsi="Times New Roman" w:cs="Times New Roman"/>
          <w:i/>
          <w:iCs/>
          <w:color w:val="000000" w:themeColor="text1"/>
          <w:szCs w:val="26"/>
        </w:rPr>
        <w:t>(Nguồn: Tác giả tổng hợp từ Báo cáo Sở Y tế các tỉnh/thành phố, 2025)</w:t>
      </w:r>
    </w:p>
    <w:p w14:paraId="69B9C6D5" w14:textId="77777777" w:rsidR="00342633" w:rsidRPr="00050474" w:rsidRDefault="0051710A">
      <w:pPr>
        <w:pStyle w:val="Heading5"/>
        <w:spacing w:line="360" w:lineRule="auto"/>
        <w:rPr>
          <w:rFonts w:ascii="Times New Roman" w:hAnsi="Times New Roman"/>
          <w:color w:val="000000" w:themeColor="text1"/>
          <w:sz w:val="26"/>
          <w:szCs w:val="26"/>
        </w:rPr>
      </w:pPr>
      <w:bookmarkStart w:id="110" w:name="_Toc222669408"/>
      <w:bookmarkStart w:id="111" w:name="_Toc218532192"/>
      <w:bookmarkStart w:id="112" w:name="_Toc229148295"/>
      <w:bookmarkStart w:id="113" w:name="_Toc210568796"/>
      <w:bookmarkStart w:id="114" w:name="_Toc210724170"/>
      <w:bookmarkStart w:id="115" w:name="_Toc210725629"/>
      <w:bookmarkStart w:id="116" w:name="_Toc210569599"/>
      <w:bookmarkStart w:id="117" w:name="_Hlk230114102"/>
      <w:r w:rsidRPr="00050474">
        <w:rPr>
          <w:rFonts w:ascii="Times New Roman" w:hAnsi="Times New Roman"/>
          <w:color w:val="000000" w:themeColor="text1"/>
          <w:sz w:val="26"/>
          <w:szCs w:val="26"/>
        </w:rPr>
        <w:t>Bảng 2.2: Phân loại bệnh viện công lập ĐBSCL theo mức độ tự chủ tài chính năm 2023</w:t>
      </w:r>
      <w:bookmarkEnd w:id="110"/>
      <w:bookmarkEnd w:id="111"/>
      <w:bookmarkEnd w:id="112"/>
      <w:bookmarkEnd w:id="113"/>
      <w:bookmarkEnd w:id="114"/>
      <w:bookmarkEnd w:id="115"/>
      <w:bookmarkEnd w:id="116"/>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134"/>
        <w:gridCol w:w="1134"/>
        <w:gridCol w:w="3255"/>
      </w:tblGrid>
      <w:tr w:rsidR="00050474" w:rsidRPr="00050474" w14:paraId="092ECBAC" w14:textId="77777777">
        <w:trPr>
          <w:trHeight w:val="443"/>
        </w:trPr>
        <w:tc>
          <w:tcPr>
            <w:tcW w:w="3261" w:type="dxa"/>
            <w:tcBorders>
              <w:top w:val="single" w:sz="4" w:space="0" w:color="auto"/>
              <w:left w:val="single" w:sz="4" w:space="0" w:color="auto"/>
              <w:bottom w:val="single" w:sz="4" w:space="0" w:color="auto"/>
              <w:right w:val="single" w:sz="4" w:space="0" w:color="auto"/>
            </w:tcBorders>
            <w:vAlign w:val="center"/>
          </w:tcPr>
          <w:p w14:paraId="170DD3F7" w14:textId="77777777" w:rsidR="00342633" w:rsidRPr="00050474" w:rsidRDefault="0051710A">
            <w:pPr>
              <w:spacing w:line="360" w:lineRule="auto"/>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Loại hình BV</w:t>
            </w:r>
          </w:p>
        </w:tc>
        <w:tc>
          <w:tcPr>
            <w:tcW w:w="1134" w:type="dxa"/>
            <w:tcBorders>
              <w:top w:val="single" w:sz="4" w:space="0" w:color="auto"/>
              <w:left w:val="single" w:sz="4" w:space="0" w:color="auto"/>
              <w:bottom w:val="single" w:sz="4" w:space="0" w:color="auto"/>
              <w:right w:val="single" w:sz="4" w:space="0" w:color="auto"/>
            </w:tcBorders>
            <w:vAlign w:val="center"/>
          </w:tcPr>
          <w:p w14:paraId="08896481" w14:textId="77777777" w:rsidR="00342633" w:rsidRPr="00050474" w:rsidRDefault="0051710A">
            <w:pPr>
              <w:spacing w:line="360" w:lineRule="auto"/>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Số lượng BV</w:t>
            </w:r>
          </w:p>
        </w:tc>
        <w:tc>
          <w:tcPr>
            <w:tcW w:w="1134" w:type="dxa"/>
            <w:tcBorders>
              <w:top w:val="single" w:sz="4" w:space="0" w:color="auto"/>
              <w:left w:val="single" w:sz="4" w:space="0" w:color="auto"/>
              <w:bottom w:val="single" w:sz="4" w:space="0" w:color="auto"/>
              <w:right w:val="single" w:sz="4" w:space="0" w:color="auto"/>
            </w:tcBorders>
            <w:vAlign w:val="center"/>
          </w:tcPr>
          <w:p w14:paraId="19E15E11" w14:textId="77777777" w:rsidR="00342633" w:rsidRPr="00050474" w:rsidRDefault="0051710A">
            <w:pPr>
              <w:spacing w:line="360" w:lineRule="auto"/>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Tỷ trọng (%)</w:t>
            </w:r>
          </w:p>
        </w:tc>
        <w:tc>
          <w:tcPr>
            <w:tcW w:w="3255" w:type="dxa"/>
            <w:tcBorders>
              <w:top w:val="single" w:sz="4" w:space="0" w:color="auto"/>
              <w:left w:val="single" w:sz="4" w:space="0" w:color="auto"/>
              <w:bottom w:val="single" w:sz="4" w:space="0" w:color="auto"/>
              <w:right w:val="single" w:sz="4" w:space="0" w:color="auto"/>
            </w:tcBorders>
            <w:vAlign w:val="center"/>
          </w:tcPr>
          <w:p w14:paraId="75E2644D" w14:textId="77777777" w:rsidR="00342633" w:rsidRPr="00050474" w:rsidRDefault="0051710A">
            <w:pPr>
              <w:spacing w:line="360" w:lineRule="auto"/>
              <w:jc w:val="center"/>
              <w:rPr>
                <w:rFonts w:ascii="Times New Roman" w:hAnsi="Times New Roman" w:cs="Times New Roman"/>
                <w:b/>
                <w:color w:val="000000" w:themeColor="text1"/>
                <w:sz w:val="22"/>
                <w:szCs w:val="22"/>
              </w:rPr>
            </w:pPr>
            <w:r w:rsidRPr="00050474">
              <w:rPr>
                <w:rFonts w:ascii="Times New Roman" w:hAnsi="Times New Roman" w:cs="Times New Roman"/>
                <w:b/>
                <w:color w:val="000000" w:themeColor="text1"/>
                <w:sz w:val="22"/>
                <w:szCs w:val="22"/>
              </w:rPr>
              <w:t>Đặc điểm</w:t>
            </w:r>
          </w:p>
        </w:tc>
      </w:tr>
      <w:tr w:rsidR="00050474" w:rsidRPr="00050474" w14:paraId="5DD422C6" w14:textId="77777777">
        <w:trPr>
          <w:trHeight w:val="109"/>
        </w:trPr>
        <w:tc>
          <w:tcPr>
            <w:tcW w:w="3261" w:type="dxa"/>
            <w:tcBorders>
              <w:top w:val="single" w:sz="4" w:space="0" w:color="auto"/>
              <w:left w:val="single" w:sz="4" w:space="0" w:color="auto"/>
              <w:bottom w:val="single" w:sz="4" w:space="0" w:color="auto"/>
              <w:right w:val="single" w:sz="4" w:space="0" w:color="auto"/>
            </w:tcBorders>
            <w:vAlign w:val="center"/>
          </w:tcPr>
          <w:p w14:paraId="634835F6"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Tự bảo đảm chi thường xuyên và đầu tư</w:t>
            </w:r>
          </w:p>
        </w:tc>
        <w:tc>
          <w:tcPr>
            <w:tcW w:w="1134" w:type="dxa"/>
            <w:tcBorders>
              <w:top w:val="single" w:sz="4" w:space="0" w:color="auto"/>
              <w:left w:val="single" w:sz="4" w:space="0" w:color="auto"/>
              <w:bottom w:val="single" w:sz="4" w:space="0" w:color="auto"/>
              <w:right w:val="single" w:sz="4" w:space="0" w:color="auto"/>
            </w:tcBorders>
            <w:vAlign w:val="center"/>
          </w:tcPr>
          <w:p w14:paraId="644B0C36"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22</w:t>
            </w:r>
          </w:p>
        </w:tc>
        <w:tc>
          <w:tcPr>
            <w:tcW w:w="1134" w:type="dxa"/>
            <w:tcBorders>
              <w:top w:val="single" w:sz="4" w:space="0" w:color="auto"/>
              <w:left w:val="single" w:sz="4" w:space="0" w:color="auto"/>
              <w:bottom w:val="single" w:sz="4" w:space="0" w:color="auto"/>
              <w:right w:val="single" w:sz="4" w:space="0" w:color="auto"/>
            </w:tcBorders>
            <w:vAlign w:val="center"/>
          </w:tcPr>
          <w:p w14:paraId="2E205866"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10,5</w:t>
            </w:r>
          </w:p>
        </w:tc>
        <w:tc>
          <w:tcPr>
            <w:tcW w:w="3255" w:type="dxa"/>
            <w:tcBorders>
              <w:top w:val="single" w:sz="4" w:space="0" w:color="auto"/>
              <w:left w:val="single" w:sz="4" w:space="0" w:color="auto"/>
              <w:bottom w:val="single" w:sz="4" w:space="0" w:color="auto"/>
              <w:right w:val="single" w:sz="4" w:space="0" w:color="auto"/>
            </w:tcBorders>
            <w:vAlign w:val="center"/>
          </w:tcPr>
          <w:p w14:paraId="29EC004C"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Chủ yếu là bệnh viện tuyến tỉnh, quy mô lớn, có nguồn thu dịch vụ y tế ổn định</w:t>
            </w:r>
          </w:p>
        </w:tc>
      </w:tr>
      <w:tr w:rsidR="00050474" w:rsidRPr="00050474" w14:paraId="60EE41DA" w14:textId="77777777">
        <w:trPr>
          <w:trHeight w:val="109"/>
        </w:trPr>
        <w:tc>
          <w:tcPr>
            <w:tcW w:w="3261" w:type="dxa"/>
            <w:tcBorders>
              <w:top w:val="single" w:sz="4" w:space="0" w:color="auto"/>
              <w:left w:val="single" w:sz="4" w:space="0" w:color="auto"/>
              <w:bottom w:val="single" w:sz="4" w:space="0" w:color="auto"/>
              <w:right w:val="single" w:sz="4" w:space="0" w:color="auto"/>
            </w:tcBorders>
            <w:vAlign w:val="center"/>
          </w:tcPr>
          <w:p w14:paraId="2E46E47E"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Tự bảo đảm chi thường xuyên</w:t>
            </w:r>
          </w:p>
        </w:tc>
        <w:tc>
          <w:tcPr>
            <w:tcW w:w="1134" w:type="dxa"/>
            <w:tcBorders>
              <w:top w:val="single" w:sz="4" w:space="0" w:color="auto"/>
              <w:left w:val="single" w:sz="4" w:space="0" w:color="auto"/>
              <w:bottom w:val="single" w:sz="4" w:space="0" w:color="auto"/>
              <w:right w:val="single" w:sz="4" w:space="0" w:color="auto"/>
            </w:tcBorders>
            <w:vAlign w:val="center"/>
          </w:tcPr>
          <w:p w14:paraId="70B87217"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45</w:t>
            </w:r>
          </w:p>
        </w:tc>
        <w:tc>
          <w:tcPr>
            <w:tcW w:w="1134" w:type="dxa"/>
            <w:tcBorders>
              <w:top w:val="single" w:sz="4" w:space="0" w:color="auto"/>
              <w:left w:val="single" w:sz="4" w:space="0" w:color="auto"/>
              <w:bottom w:val="single" w:sz="4" w:space="0" w:color="auto"/>
              <w:right w:val="single" w:sz="4" w:space="0" w:color="auto"/>
            </w:tcBorders>
            <w:vAlign w:val="center"/>
          </w:tcPr>
          <w:p w14:paraId="6EFDBEA9"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21,4</w:t>
            </w:r>
          </w:p>
        </w:tc>
        <w:tc>
          <w:tcPr>
            <w:tcW w:w="3255" w:type="dxa"/>
            <w:tcBorders>
              <w:top w:val="single" w:sz="4" w:space="0" w:color="auto"/>
              <w:left w:val="single" w:sz="4" w:space="0" w:color="auto"/>
              <w:bottom w:val="single" w:sz="4" w:space="0" w:color="auto"/>
              <w:right w:val="single" w:sz="4" w:space="0" w:color="auto"/>
            </w:tcBorders>
            <w:vAlign w:val="center"/>
          </w:tcPr>
          <w:p w14:paraId="17883F3A"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Các bệnh viện đa khoa tỉnh, bệnh viện chuyên khoa có khả năng thu phí dịch vụ</w:t>
            </w:r>
          </w:p>
        </w:tc>
      </w:tr>
      <w:tr w:rsidR="00050474" w:rsidRPr="00050474" w14:paraId="454B24CD" w14:textId="77777777">
        <w:trPr>
          <w:trHeight w:val="109"/>
        </w:trPr>
        <w:tc>
          <w:tcPr>
            <w:tcW w:w="3261" w:type="dxa"/>
            <w:tcBorders>
              <w:top w:val="single" w:sz="4" w:space="0" w:color="auto"/>
              <w:left w:val="single" w:sz="4" w:space="0" w:color="auto"/>
              <w:bottom w:val="single" w:sz="4" w:space="0" w:color="auto"/>
              <w:right w:val="single" w:sz="4" w:space="0" w:color="auto"/>
            </w:tcBorders>
            <w:vAlign w:val="center"/>
          </w:tcPr>
          <w:p w14:paraId="2F61215C"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Tự bảo đảm một phần chi thường xuyên</w:t>
            </w:r>
          </w:p>
        </w:tc>
        <w:tc>
          <w:tcPr>
            <w:tcW w:w="1134" w:type="dxa"/>
            <w:tcBorders>
              <w:top w:val="single" w:sz="4" w:space="0" w:color="auto"/>
              <w:left w:val="single" w:sz="4" w:space="0" w:color="auto"/>
              <w:bottom w:val="single" w:sz="4" w:space="0" w:color="auto"/>
              <w:right w:val="single" w:sz="4" w:space="0" w:color="auto"/>
            </w:tcBorders>
            <w:vAlign w:val="center"/>
          </w:tcPr>
          <w:p w14:paraId="3C49A61B"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85</w:t>
            </w:r>
          </w:p>
        </w:tc>
        <w:tc>
          <w:tcPr>
            <w:tcW w:w="1134" w:type="dxa"/>
            <w:tcBorders>
              <w:top w:val="single" w:sz="4" w:space="0" w:color="auto"/>
              <w:left w:val="single" w:sz="4" w:space="0" w:color="auto"/>
              <w:bottom w:val="single" w:sz="4" w:space="0" w:color="auto"/>
              <w:right w:val="single" w:sz="4" w:space="0" w:color="auto"/>
            </w:tcBorders>
            <w:vAlign w:val="center"/>
          </w:tcPr>
          <w:p w14:paraId="707631EC"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40,5</w:t>
            </w:r>
          </w:p>
        </w:tc>
        <w:tc>
          <w:tcPr>
            <w:tcW w:w="3255" w:type="dxa"/>
            <w:tcBorders>
              <w:top w:val="single" w:sz="4" w:space="0" w:color="auto"/>
              <w:left w:val="single" w:sz="4" w:space="0" w:color="auto"/>
              <w:bottom w:val="single" w:sz="4" w:space="0" w:color="auto"/>
              <w:right w:val="single" w:sz="4" w:space="0" w:color="auto"/>
            </w:tcBorders>
            <w:vAlign w:val="center"/>
          </w:tcPr>
          <w:p w14:paraId="01661BF5"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Nhóm phổ biến nhất, vừa có thu dịch vụ vừa nhận hỗ trợ từ NSNN</w:t>
            </w:r>
          </w:p>
        </w:tc>
      </w:tr>
      <w:tr w:rsidR="00050474" w:rsidRPr="00050474" w14:paraId="55B92080" w14:textId="77777777">
        <w:trPr>
          <w:trHeight w:val="109"/>
        </w:trPr>
        <w:tc>
          <w:tcPr>
            <w:tcW w:w="3261" w:type="dxa"/>
            <w:tcBorders>
              <w:top w:val="single" w:sz="4" w:space="0" w:color="auto"/>
              <w:left w:val="single" w:sz="4" w:space="0" w:color="auto"/>
              <w:bottom w:val="single" w:sz="4" w:space="0" w:color="auto"/>
              <w:right w:val="single" w:sz="4" w:space="0" w:color="auto"/>
            </w:tcBorders>
            <w:vAlign w:val="center"/>
          </w:tcPr>
          <w:p w14:paraId="6ECF990C"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NSNN bảo đảm chi thường xuyên</w:t>
            </w:r>
          </w:p>
        </w:tc>
        <w:tc>
          <w:tcPr>
            <w:tcW w:w="1134" w:type="dxa"/>
            <w:tcBorders>
              <w:top w:val="single" w:sz="4" w:space="0" w:color="auto"/>
              <w:left w:val="single" w:sz="4" w:space="0" w:color="auto"/>
              <w:bottom w:val="single" w:sz="4" w:space="0" w:color="auto"/>
              <w:right w:val="single" w:sz="4" w:space="0" w:color="auto"/>
            </w:tcBorders>
            <w:vAlign w:val="center"/>
          </w:tcPr>
          <w:p w14:paraId="2D2F5F17"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58</w:t>
            </w:r>
          </w:p>
        </w:tc>
        <w:tc>
          <w:tcPr>
            <w:tcW w:w="1134" w:type="dxa"/>
            <w:tcBorders>
              <w:top w:val="single" w:sz="4" w:space="0" w:color="auto"/>
              <w:left w:val="single" w:sz="4" w:space="0" w:color="auto"/>
              <w:bottom w:val="single" w:sz="4" w:space="0" w:color="auto"/>
              <w:right w:val="single" w:sz="4" w:space="0" w:color="auto"/>
            </w:tcBorders>
            <w:vAlign w:val="center"/>
          </w:tcPr>
          <w:p w14:paraId="0D5FC768" w14:textId="77777777" w:rsidR="00342633" w:rsidRPr="00050474" w:rsidRDefault="0051710A">
            <w:pPr>
              <w:spacing w:line="360" w:lineRule="auto"/>
              <w:jc w:val="center"/>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27,6</w:t>
            </w:r>
          </w:p>
        </w:tc>
        <w:tc>
          <w:tcPr>
            <w:tcW w:w="3255" w:type="dxa"/>
            <w:tcBorders>
              <w:top w:val="single" w:sz="4" w:space="0" w:color="auto"/>
              <w:left w:val="single" w:sz="4" w:space="0" w:color="auto"/>
              <w:bottom w:val="single" w:sz="4" w:space="0" w:color="auto"/>
              <w:right w:val="single" w:sz="4" w:space="0" w:color="auto"/>
            </w:tcBorders>
            <w:vAlign w:val="center"/>
          </w:tcPr>
          <w:p w14:paraId="2E71904A" w14:textId="77777777" w:rsidR="00342633" w:rsidRPr="00050474" w:rsidRDefault="0051710A">
            <w:pPr>
              <w:spacing w:line="360" w:lineRule="auto"/>
              <w:jc w:val="both"/>
              <w:rPr>
                <w:rFonts w:ascii="Times New Roman" w:hAnsi="Times New Roman" w:cs="Times New Roman"/>
                <w:color w:val="000000" w:themeColor="text1"/>
                <w:sz w:val="22"/>
                <w:szCs w:val="22"/>
              </w:rPr>
            </w:pPr>
            <w:r w:rsidRPr="00050474">
              <w:rPr>
                <w:rFonts w:ascii="Times New Roman" w:hAnsi="Times New Roman" w:cs="Times New Roman"/>
                <w:color w:val="000000" w:themeColor="text1"/>
                <w:sz w:val="22"/>
                <w:szCs w:val="22"/>
              </w:rPr>
              <w:t>Phần lớn là bệnh viện tuyến huyện, quy mô nhỏ, phụ thuộc vào NSNN</w:t>
            </w:r>
          </w:p>
        </w:tc>
      </w:tr>
      <w:tr w:rsidR="00050474" w:rsidRPr="00050474" w14:paraId="205E5A82" w14:textId="77777777">
        <w:trPr>
          <w:trHeight w:val="257"/>
        </w:trPr>
        <w:tc>
          <w:tcPr>
            <w:tcW w:w="3261" w:type="dxa"/>
            <w:tcBorders>
              <w:top w:val="single" w:sz="4" w:space="0" w:color="auto"/>
              <w:left w:val="single" w:sz="4" w:space="0" w:color="auto"/>
              <w:bottom w:val="single" w:sz="4" w:space="0" w:color="auto"/>
              <w:right w:val="single" w:sz="4" w:space="0" w:color="auto"/>
            </w:tcBorders>
            <w:vAlign w:val="center"/>
          </w:tcPr>
          <w:p w14:paraId="3A20C27D" w14:textId="77777777" w:rsidR="00342633" w:rsidRPr="00050474" w:rsidRDefault="0051710A">
            <w:pPr>
              <w:spacing w:line="360" w:lineRule="auto"/>
              <w:jc w:val="both"/>
              <w:rPr>
                <w:rFonts w:ascii="Times New Roman" w:hAnsi="Times New Roman" w:cs="Times New Roman"/>
                <w:b/>
                <w:bCs/>
                <w:color w:val="000000" w:themeColor="text1"/>
                <w:sz w:val="22"/>
                <w:szCs w:val="22"/>
              </w:rPr>
            </w:pPr>
            <w:r w:rsidRPr="00050474">
              <w:rPr>
                <w:rFonts w:ascii="Times New Roman" w:hAnsi="Times New Roman" w:cs="Times New Roman"/>
                <w:b/>
                <w:bCs/>
                <w:color w:val="000000" w:themeColor="text1"/>
                <w:sz w:val="22"/>
                <w:szCs w:val="22"/>
              </w:rPr>
              <w:t>Tổng cộng</w:t>
            </w:r>
          </w:p>
        </w:tc>
        <w:tc>
          <w:tcPr>
            <w:tcW w:w="1134" w:type="dxa"/>
            <w:tcBorders>
              <w:top w:val="single" w:sz="4" w:space="0" w:color="auto"/>
              <w:left w:val="single" w:sz="4" w:space="0" w:color="auto"/>
              <w:bottom w:val="single" w:sz="4" w:space="0" w:color="auto"/>
              <w:right w:val="single" w:sz="4" w:space="0" w:color="auto"/>
            </w:tcBorders>
            <w:vAlign w:val="center"/>
          </w:tcPr>
          <w:p w14:paraId="15D21625" w14:textId="77777777" w:rsidR="00342633" w:rsidRPr="00050474" w:rsidRDefault="0051710A">
            <w:pPr>
              <w:spacing w:line="360" w:lineRule="auto"/>
              <w:jc w:val="center"/>
              <w:rPr>
                <w:rFonts w:ascii="Times New Roman" w:hAnsi="Times New Roman" w:cs="Times New Roman"/>
                <w:b/>
                <w:bCs/>
                <w:color w:val="000000" w:themeColor="text1"/>
                <w:sz w:val="22"/>
                <w:szCs w:val="22"/>
              </w:rPr>
            </w:pPr>
            <w:r w:rsidRPr="00050474">
              <w:rPr>
                <w:rFonts w:ascii="Times New Roman" w:hAnsi="Times New Roman" w:cs="Times New Roman"/>
                <w:b/>
                <w:bCs/>
                <w:color w:val="000000" w:themeColor="text1"/>
                <w:sz w:val="22"/>
                <w:szCs w:val="22"/>
              </w:rPr>
              <w:t>210</w:t>
            </w:r>
          </w:p>
        </w:tc>
        <w:tc>
          <w:tcPr>
            <w:tcW w:w="1134" w:type="dxa"/>
            <w:tcBorders>
              <w:top w:val="single" w:sz="4" w:space="0" w:color="auto"/>
              <w:left w:val="single" w:sz="4" w:space="0" w:color="auto"/>
              <w:bottom w:val="single" w:sz="4" w:space="0" w:color="auto"/>
              <w:right w:val="single" w:sz="4" w:space="0" w:color="auto"/>
            </w:tcBorders>
            <w:vAlign w:val="center"/>
          </w:tcPr>
          <w:p w14:paraId="37A85006" w14:textId="77777777" w:rsidR="00342633" w:rsidRPr="00050474" w:rsidRDefault="0051710A">
            <w:pPr>
              <w:spacing w:line="360" w:lineRule="auto"/>
              <w:jc w:val="center"/>
              <w:rPr>
                <w:rFonts w:ascii="Times New Roman" w:hAnsi="Times New Roman" w:cs="Times New Roman"/>
                <w:b/>
                <w:bCs/>
                <w:color w:val="000000" w:themeColor="text1"/>
                <w:sz w:val="22"/>
                <w:szCs w:val="22"/>
              </w:rPr>
            </w:pPr>
            <w:r w:rsidRPr="00050474">
              <w:rPr>
                <w:rFonts w:ascii="Times New Roman" w:hAnsi="Times New Roman" w:cs="Times New Roman"/>
                <w:b/>
                <w:bCs/>
                <w:color w:val="000000" w:themeColor="text1"/>
                <w:sz w:val="22"/>
                <w:szCs w:val="22"/>
              </w:rPr>
              <w:t>100</w:t>
            </w:r>
          </w:p>
        </w:tc>
        <w:tc>
          <w:tcPr>
            <w:tcW w:w="3255" w:type="dxa"/>
            <w:tcBorders>
              <w:top w:val="single" w:sz="4" w:space="0" w:color="auto"/>
              <w:left w:val="single" w:sz="4" w:space="0" w:color="auto"/>
              <w:bottom w:val="single" w:sz="4" w:space="0" w:color="auto"/>
              <w:right w:val="single" w:sz="4" w:space="0" w:color="auto"/>
            </w:tcBorders>
            <w:vAlign w:val="center"/>
          </w:tcPr>
          <w:p w14:paraId="4F12D410" w14:textId="77777777" w:rsidR="00342633" w:rsidRPr="00050474" w:rsidRDefault="00342633">
            <w:pPr>
              <w:spacing w:line="360" w:lineRule="auto"/>
              <w:rPr>
                <w:rFonts w:ascii="Times New Roman" w:hAnsi="Times New Roman" w:cs="Times New Roman"/>
                <w:b/>
                <w:bCs/>
                <w:color w:val="000000" w:themeColor="text1"/>
                <w:sz w:val="22"/>
                <w:szCs w:val="22"/>
              </w:rPr>
            </w:pPr>
          </w:p>
        </w:tc>
      </w:tr>
    </w:tbl>
    <w:p w14:paraId="5EC2E7E5" w14:textId="77777777" w:rsidR="00342633" w:rsidRPr="00050474" w:rsidRDefault="0051710A">
      <w:pPr>
        <w:spacing w:line="360" w:lineRule="auto"/>
        <w:jc w:val="right"/>
        <w:rPr>
          <w:rFonts w:ascii="Times New Roman" w:hAnsi="Times New Roman" w:cs="Times New Roman"/>
          <w:color w:val="000000" w:themeColor="text1"/>
          <w:szCs w:val="26"/>
        </w:rPr>
      </w:pPr>
      <w:r w:rsidRPr="00050474">
        <w:rPr>
          <w:rFonts w:ascii="Times New Roman" w:hAnsi="Times New Roman" w:cs="Times New Roman"/>
          <w:i/>
          <w:iCs/>
          <w:color w:val="000000" w:themeColor="text1"/>
          <w:szCs w:val="26"/>
        </w:rPr>
        <w:t>(Nguồn: Tác giả tổng hợp từ Báo cáo Sở Y tế các tỉnh/thành phố, 2025)</w:t>
      </w:r>
    </w:p>
    <w:p w14:paraId="76471EA5" w14:textId="77777777" w:rsidR="00342633" w:rsidRPr="00050474" w:rsidRDefault="0051710A">
      <w:pPr>
        <w:spacing w:after="120" w:line="360" w:lineRule="auto"/>
        <w:ind w:firstLine="567"/>
        <w:jc w:val="both"/>
        <w:rPr>
          <w:rFonts w:ascii="Times New Roman" w:hAnsi="Times New Roman" w:cs="Times New Roman"/>
          <w:color w:val="000000" w:themeColor="text1"/>
          <w:szCs w:val="26"/>
        </w:rPr>
      </w:pPr>
      <w:bookmarkStart w:id="118" w:name="_Toc229148296"/>
      <w:bookmarkStart w:id="119" w:name="_Hlk230114119"/>
      <w:bookmarkEnd w:id="117"/>
      <w:r w:rsidRPr="00050474">
        <w:rPr>
          <w:rFonts w:ascii="Times New Roman" w:hAnsi="Times New Roman" w:cs="Times New Roman"/>
          <w:color w:val="000000" w:themeColor="text1"/>
          <w:szCs w:val="26"/>
        </w:rPr>
        <w:lastRenderedPageBreak/>
        <w:t>Phần lớn bệnh viện công lập tuyến Xã và một số bệnh viện tỉnh có quy mô nhỏ, cơ sở vật chất xuống cấp, chưa đủ năng lực triển khai các dịch vụ kỹ thuật cao. Do đó, nguồn thu từ khám chữa bệnh bảo hiểm y tế và dịch vụ ngoài quỹ còn hạn chế, khó đáp ứng được chi phí thường xuyên. C</w:t>
      </w:r>
      <w:r w:rsidRPr="00050474">
        <w:rPr>
          <w:rFonts w:ascii="Times New Roman" w:hAnsi="Times New Roman" w:cs="Times New Roman"/>
          <w:bCs/>
          <w:color w:val="000000" w:themeColor="text1"/>
          <w:szCs w:val="26"/>
        </w:rPr>
        <w:t xml:space="preserve">ơ cấu bệnh nhân và đặc điểm kinh tế - xã hội vùng ĐBSCL. </w:t>
      </w:r>
      <w:r w:rsidRPr="00050474">
        <w:rPr>
          <w:rFonts w:ascii="Times New Roman" w:hAnsi="Times New Roman" w:cs="Times New Roman"/>
          <w:color w:val="000000" w:themeColor="text1"/>
          <w:szCs w:val="26"/>
        </w:rPr>
        <w:t xml:space="preserve">ĐBSCL là khu vực có mức thu nhập bình quân đầu người thấp hơn trung bình cả nước (Tổng cục Thống kê, 2023). Người dân chủ yếu sử dụng bảo hiểm y tế với mức chi trả hạn chế, ít có khả năng chi trả cho các dịch vụ chất lượng cao. Điều này ảnh hưởng trực tiếp đến doanh thu dịch vụ y tế của bệnh viện. </w:t>
      </w:r>
    </w:p>
    <w:p w14:paraId="508252A8" w14:textId="268353E0" w:rsidR="00342633" w:rsidRPr="00050474" w:rsidRDefault="0051710A">
      <w:pPr>
        <w:pStyle w:val="Heading2"/>
        <w:spacing w:before="0" w:after="0" w:line="360" w:lineRule="auto"/>
        <w:ind w:left="0" w:firstLine="567"/>
        <w:rPr>
          <w:b w:val="0"/>
          <w:bCs w:val="0"/>
          <w:iCs w:val="0"/>
          <w:color w:val="000000" w:themeColor="text1"/>
          <w:szCs w:val="26"/>
        </w:rPr>
      </w:pPr>
      <w:r w:rsidRPr="00050474">
        <w:rPr>
          <w:b w:val="0"/>
          <w:bCs w:val="0"/>
          <w:iCs w:val="0"/>
          <w:color w:val="000000" w:themeColor="text1"/>
          <w:szCs w:val="26"/>
        </w:rPr>
        <w:t xml:space="preserve">Trong bối cảnh triển khai Nghị định số 111/2025/NĐ-CP Sửa đổi, bổ sung một số điều của Nghị định số 60/2021/NĐ-CP ngày 21 tháng 6 năm 2021 của Chính phủ quy định cơ chế tự chủ tài chính của đơn vị sự nghiệp công lập cùng với </w:t>
      </w:r>
      <w:r w:rsidR="002420DF" w:rsidRPr="00050474">
        <w:rPr>
          <w:b w:val="0"/>
          <w:bCs w:val="0"/>
          <w:iCs w:val="0"/>
          <w:color w:val="000000" w:themeColor="text1"/>
          <w:szCs w:val="26"/>
        </w:rPr>
        <w:t>Thông tư số 24/2024/TT-BTC về chế độ kế toán hành chính, sự nghiệp</w:t>
      </w:r>
      <w:r w:rsidRPr="00050474">
        <w:rPr>
          <w:b w:val="0"/>
          <w:bCs w:val="0"/>
          <w:iCs w:val="0"/>
          <w:color w:val="000000" w:themeColor="text1"/>
          <w:szCs w:val="26"/>
        </w:rPr>
        <w:t xml:space="preserve"> của Bộ Tài chính hướng dẫn chế độ kế toán áp dụng cho các đơn vị sự nghiệp công đã đặt ra yêu cầu cấp thiết đối với hệ thống bệnh viện công lập ở khu vực ĐBSCL. Cơ chế mới không chỉ phân loại mức độ tự chủ tài chính (từ tự bảo đảm toàn bộ chi thường xuyên và đầu tư cho đến hoàn toàn phụ thuộc ngân sách nhà nước), mà còn quy định rõ trách nhiệm quản lý, hạch toán thu – chi và lập báo cáo tài chính theo các chuẩn mực minh bạch, thống nhất. Những thay đổi này có tác động trực tiếp đến công tác kế toán trong bệnh viện, đòi hỏi hệ thống kế toán phải được tổ chức tuân thủ chặt chẽ các quy định pháp luật. Cụ thể, kế toán phải thực hiện việc ghi chép đầy đủ, kịp thời và phản ánh đúng bản chất các nguồn thu từ dịch vụ y tế, bảo hiểm y tế, viện trợ và các khoản xã hội hóa; đồng thời kiểm soát chặt chẽ chi phí thường xuyên, đặc biệt là các khoản chi cho thuốc, vật tư y tế, nhân lực và khấu hao tài sản cố định. Như vậy, có thể khẳng định rằng sự thay đổi trong cơ chế quản lý tài chính không chỉ là yếu tố quyết định đến việc tổ chức lại công tác kế toán trong các bệnh viện công lập khu vực ĐBSCL, mà còn đặt ra nhiều thách thức đối với việc vừa đảm bảo tuân thủ các quy định pháp lý, vừa nâng cao hiệu quả quản trị tài chính và tính bền vững trong hoạt động của bệnh viện.</w:t>
      </w:r>
    </w:p>
    <w:p w14:paraId="32A9D0F2" w14:textId="77777777" w:rsidR="00342633" w:rsidRPr="00050474" w:rsidRDefault="0051710A">
      <w:pPr>
        <w:pStyle w:val="Heading2"/>
        <w:spacing w:before="0" w:after="0" w:line="360" w:lineRule="auto"/>
        <w:ind w:left="0" w:firstLine="520"/>
        <w:rPr>
          <w:b w:val="0"/>
          <w:bCs w:val="0"/>
          <w:color w:val="000000" w:themeColor="text1"/>
          <w:szCs w:val="26"/>
        </w:rPr>
      </w:pPr>
      <w:r w:rsidRPr="00050474">
        <w:rPr>
          <w:b w:val="0"/>
          <w:bCs w:val="0"/>
          <w:color w:val="000000" w:themeColor="text1"/>
          <w:szCs w:val="26"/>
        </w:rPr>
        <w:t>2.1.2 Đặc điểm cơ cấu kinh tế, dân cư và tác động đến cấu trúc nguồn thu – chi</w:t>
      </w:r>
      <w:bookmarkEnd w:id="118"/>
    </w:p>
    <w:p w14:paraId="37C1AC8E" w14:textId="77777777" w:rsidR="00342633" w:rsidRPr="00050474" w:rsidRDefault="0051710A">
      <w:pPr>
        <w:pStyle w:val="Heading2"/>
        <w:spacing w:before="0" w:after="0" w:line="360" w:lineRule="auto"/>
        <w:ind w:left="0" w:firstLine="520"/>
        <w:rPr>
          <w:rStyle w:val="ng-star-inserted"/>
          <w:b w:val="0"/>
          <w:bCs w:val="0"/>
          <w:i/>
          <w:iCs w:val="0"/>
          <w:color w:val="000000" w:themeColor="text1"/>
          <w:szCs w:val="26"/>
        </w:rPr>
      </w:pPr>
      <w:bookmarkStart w:id="120" w:name="_Toc229148297"/>
      <w:bookmarkEnd w:id="119"/>
      <w:r w:rsidRPr="00050474">
        <w:rPr>
          <w:rStyle w:val="ng-star-inserted"/>
          <w:b w:val="0"/>
          <w:bCs w:val="0"/>
          <w:i/>
          <w:iCs w:val="0"/>
          <w:color w:val="000000" w:themeColor="text1"/>
          <w:szCs w:val="26"/>
        </w:rPr>
        <w:t>2.1.3. Đặc điểm về nguồn nhân lực y tế và kế toán trong khu vực</w:t>
      </w:r>
      <w:bookmarkEnd w:id="120"/>
    </w:p>
    <w:p w14:paraId="1C0598DB" w14:textId="77777777" w:rsidR="00342633" w:rsidRPr="00050474" w:rsidRDefault="0051710A">
      <w:pPr>
        <w:pStyle w:val="Heading2"/>
        <w:spacing w:before="0" w:after="0" w:line="360" w:lineRule="auto"/>
        <w:ind w:left="0" w:firstLine="520"/>
        <w:rPr>
          <w:b w:val="0"/>
          <w:bCs w:val="0"/>
          <w:i/>
          <w:iCs w:val="0"/>
          <w:color w:val="000000" w:themeColor="text1"/>
          <w:szCs w:val="26"/>
        </w:rPr>
      </w:pPr>
      <w:bookmarkStart w:id="121" w:name="_Toc229148299"/>
      <w:r w:rsidRPr="00050474">
        <w:rPr>
          <w:rStyle w:val="ng-star-inserted"/>
          <w:b w:val="0"/>
          <w:bCs w:val="0"/>
          <w:i/>
          <w:iCs w:val="0"/>
          <w:color w:val="000000" w:themeColor="text1"/>
          <w:szCs w:val="26"/>
        </w:rPr>
        <w:t>2.1.4. Đặc điểm về xã hội hóa y tế tại ĐBSCL</w:t>
      </w:r>
      <w:bookmarkEnd w:id="121"/>
    </w:p>
    <w:p w14:paraId="1DC5D829" w14:textId="4EB31C5C" w:rsidR="00342633" w:rsidRPr="00050474" w:rsidRDefault="0051710A">
      <w:pPr>
        <w:pStyle w:val="Heading1"/>
        <w:spacing w:before="0" w:after="0" w:line="360" w:lineRule="auto"/>
        <w:rPr>
          <w:color w:val="000000" w:themeColor="text1"/>
          <w:sz w:val="26"/>
          <w:szCs w:val="26"/>
        </w:rPr>
      </w:pPr>
      <w:bookmarkStart w:id="122" w:name="_Toc210724171"/>
      <w:bookmarkStart w:id="123" w:name="_Toc229148300"/>
      <w:r w:rsidRPr="00050474">
        <w:rPr>
          <w:color w:val="000000" w:themeColor="text1"/>
          <w:sz w:val="26"/>
          <w:szCs w:val="26"/>
        </w:rPr>
        <w:t xml:space="preserve">2.2. Thực trạng tổ chức công tác kế toán trong các bệnh viện </w:t>
      </w:r>
      <w:r w:rsidRPr="00050474">
        <w:rPr>
          <w:color w:val="000000" w:themeColor="text1"/>
          <w:sz w:val="26"/>
          <w:szCs w:val="26"/>
          <w:lang w:val="vi-VN"/>
        </w:rPr>
        <w:t xml:space="preserve">công lập khu vực </w:t>
      </w:r>
      <w:r w:rsidRPr="00050474">
        <w:rPr>
          <w:color w:val="000000" w:themeColor="text1"/>
          <w:sz w:val="26"/>
          <w:szCs w:val="26"/>
        </w:rPr>
        <w:t>ĐBSCL</w:t>
      </w:r>
      <w:bookmarkEnd w:id="122"/>
      <w:bookmarkEnd w:id="123"/>
    </w:p>
    <w:p w14:paraId="1785A3B5" w14:textId="039F58AF" w:rsidR="006A4166" w:rsidRPr="00050474" w:rsidRDefault="006A4166" w:rsidP="006A4166">
      <w:pPr>
        <w:spacing w:line="360" w:lineRule="auto"/>
        <w:ind w:firstLine="567"/>
        <w:jc w:val="both"/>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rPr>
        <w:t xml:space="preserve">2.2.1 </w:t>
      </w:r>
      <w:r w:rsidR="00136409" w:rsidRPr="00050474">
        <w:rPr>
          <w:rFonts w:ascii="Times New Roman" w:hAnsi="Times New Roman" w:cs="Times New Roman"/>
          <w:i/>
          <w:iCs/>
          <w:color w:val="000000" w:themeColor="text1"/>
          <w:szCs w:val="26"/>
          <w:lang w:val="vi-VN"/>
        </w:rPr>
        <w:t>Thực trạng bộ máy kế toán</w:t>
      </w:r>
    </w:p>
    <w:p w14:paraId="53E0FC63" w14:textId="794FE699" w:rsidR="00136409" w:rsidRPr="00050474" w:rsidRDefault="006A4166" w:rsidP="006A4166">
      <w:pPr>
        <w:spacing w:line="360" w:lineRule="auto"/>
        <w:ind w:firstLine="567"/>
        <w:jc w:val="both"/>
        <w:rPr>
          <w:rFonts w:ascii="Times New Roman" w:hAnsi="Times New Roman" w:cs="Times New Roman"/>
          <w:color w:val="000000" w:themeColor="text1"/>
          <w:szCs w:val="26"/>
        </w:rPr>
      </w:pPr>
      <w:r w:rsidRPr="00050474">
        <w:rPr>
          <w:rStyle w:val="ng-star-inserted1"/>
          <w:rFonts w:ascii="Times New Roman" w:hAnsi="Times New Roman" w:cs="Times New Roman"/>
          <w:color w:val="000000" w:themeColor="text1"/>
          <w:szCs w:val="26"/>
        </w:rPr>
        <w:lastRenderedPageBreak/>
        <w:t xml:space="preserve">Bộ máy kế toán cơ bản ổn định, 100% </w:t>
      </w:r>
      <w:r w:rsidR="00CE38AA" w:rsidRPr="00050474">
        <w:rPr>
          <w:rStyle w:val="ng-star-inserted1"/>
          <w:rFonts w:ascii="Times New Roman" w:hAnsi="Times New Roman" w:cs="Times New Roman"/>
          <w:color w:val="000000" w:themeColor="text1"/>
          <w:szCs w:val="26"/>
        </w:rPr>
        <w:t>vị trí</w:t>
      </w:r>
      <w:r w:rsidRPr="00050474">
        <w:rPr>
          <w:rStyle w:val="ng-star-inserted1"/>
          <w:rFonts w:ascii="Times New Roman" w:hAnsi="Times New Roman" w:cs="Times New Roman"/>
          <w:color w:val="000000" w:themeColor="text1"/>
          <w:szCs w:val="26"/>
        </w:rPr>
        <w:t xml:space="preserve"> Kế toán trưởng </w:t>
      </w:r>
      <w:r w:rsidR="00CE38AA" w:rsidRPr="00050474">
        <w:rPr>
          <w:rStyle w:val="ng-star-inserted1"/>
          <w:rFonts w:ascii="Times New Roman" w:hAnsi="Times New Roman" w:cs="Times New Roman"/>
          <w:color w:val="000000" w:themeColor="text1"/>
          <w:szCs w:val="26"/>
        </w:rPr>
        <w:t xml:space="preserve">có </w:t>
      </w:r>
      <w:r w:rsidRPr="00050474">
        <w:rPr>
          <w:rStyle w:val="ng-star-inserted1"/>
          <w:rFonts w:ascii="Times New Roman" w:hAnsi="Times New Roman" w:cs="Times New Roman"/>
          <w:color w:val="000000" w:themeColor="text1"/>
          <w:szCs w:val="26"/>
        </w:rPr>
        <w:t xml:space="preserve">đủ bằng cấp. Đội ngũ nhân sự có trình độ cao (84,93% từ đại học trở lên), chủ yếu là nữ giới (81,55%). Tuy nhiên, vẫn thiếu hụt chuyên gia về kế toán công và kế toán quản trị, đặc biệt tại tuyến </w:t>
      </w:r>
      <w:r w:rsidR="00CE38AA" w:rsidRPr="00050474">
        <w:rPr>
          <w:rStyle w:val="ng-star-inserted1"/>
          <w:rFonts w:ascii="Times New Roman" w:hAnsi="Times New Roman" w:cs="Times New Roman"/>
          <w:color w:val="000000" w:themeColor="text1"/>
          <w:szCs w:val="26"/>
        </w:rPr>
        <w:t>xã</w:t>
      </w:r>
      <w:r w:rsidRPr="00050474">
        <w:rPr>
          <w:rStyle w:val="ng-star-inserted1"/>
          <w:rFonts w:ascii="Times New Roman" w:hAnsi="Times New Roman" w:cs="Times New Roman"/>
          <w:color w:val="000000" w:themeColor="text1"/>
          <w:szCs w:val="26"/>
        </w:rPr>
        <w:t>. Các đơn vị tự chủ tài chính hoàn toàn thể hiện sự chuyên nghiệp vượt trội, chủ động bồi dưỡng nghiệp vụ bằng nguồn vốn tự túc (70,32%) và thiết lập định mức nhân sự bài bản hơn các nhóm còn lại.</w:t>
      </w:r>
    </w:p>
    <w:p w14:paraId="0CA76509" w14:textId="77777777" w:rsidR="006A4166" w:rsidRPr="00050474" w:rsidRDefault="006A4166" w:rsidP="006A4166">
      <w:pPr>
        <w:spacing w:line="360" w:lineRule="auto"/>
        <w:ind w:firstLine="567"/>
        <w:jc w:val="both"/>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rPr>
        <w:t xml:space="preserve">2.2.2 </w:t>
      </w:r>
      <w:r w:rsidR="00136409" w:rsidRPr="00050474">
        <w:rPr>
          <w:rFonts w:ascii="Times New Roman" w:hAnsi="Times New Roman" w:cs="Times New Roman"/>
          <w:i/>
          <w:iCs/>
          <w:color w:val="000000" w:themeColor="text1"/>
          <w:szCs w:val="26"/>
        </w:rPr>
        <w:t>Thu nhận thông tin kế toán và xử lý chứng từ</w:t>
      </w:r>
    </w:p>
    <w:p w14:paraId="793F4FBB" w14:textId="5F0CD47E" w:rsidR="00136409" w:rsidRPr="00050474" w:rsidRDefault="006A4166" w:rsidP="006A4166">
      <w:pPr>
        <w:spacing w:line="360" w:lineRule="auto"/>
        <w:ind w:firstLine="567"/>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 xml:space="preserve"> </w:t>
      </w:r>
      <w:r w:rsidRPr="00050474">
        <w:rPr>
          <w:rStyle w:val="ng-star-inserted1"/>
          <w:rFonts w:ascii="Times New Roman" w:hAnsi="Times New Roman" w:cs="Times New Roman"/>
          <w:color w:val="000000" w:themeColor="text1"/>
          <w:szCs w:val="26"/>
        </w:rPr>
        <w:t>Thông tin được thu nhận chủ yếu qua phần mềm (90,2%) nhưng vẫn tồn tại song song chứng từ giấy thủ công (66,94%). Các bệnh viện chủ động thiết kế mẫu biểu nội bộ kết hợp mẫu của Bộ Tài chính. Tuy nhiên, khâu luân chuyển chứng từ còn nhiều bất cập (32,65% chưa có quy trình). Khó khăn lớn nhất là sự chậm trễ nhận chứng từ bên ngoài (84,9%) và lỗi chứng từ không hợp lệ (66,12%), gây áp lực lớn cho công tác hạch toán kịp thời.</w:t>
      </w:r>
    </w:p>
    <w:p w14:paraId="660DCE6B" w14:textId="3C1A5776" w:rsidR="006A4166" w:rsidRPr="00050474" w:rsidRDefault="006A4166" w:rsidP="006A4166">
      <w:pPr>
        <w:spacing w:line="360" w:lineRule="auto"/>
        <w:ind w:firstLine="567"/>
        <w:jc w:val="both"/>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rPr>
        <w:t xml:space="preserve">2.2.3 </w:t>
      </w:r>
      <w:r w:rsidR="00136409" w:rsidRPr="00050474">
        <w:rPr>
          <w:rFonts w:ascii="Times New Roman" w:hAnsi="Times New Roman" w:cs="Times New Roman"/>
          <w:i/>
          <w:iCs/>
          <w:color w:val="000000" w:themeColor="text1"/>
          <w:szCs w:val="26"/>
        </w:rPr>
        <w:t>Thực trạng xử lý thông tin và hệ t</w:t>
      </w:r>
      <w:r w:rsidR="00733CC4" w:rsidRPr="00050474">
        <w:rPr>
          <w:rFonts w:ascii="Times New Roman" w:hAnsi="Times New Roman" w:cs="Times New Roman"/>
          <w:i/>
          <w:iCs/>
          <w:color w:val="000000" w:themeColor="text1"/>
          <w:szCs w:val="26"/>
        </w:rPr>
        <w:t>hống</w:t>
      </w:r>
      <w:r w:rsidR="00136409" w:rsidRPr="00050474">
        <w:rPr>
          <w:rFonts w:ascii="Times New Roman" w:hAnsi="Times New Roman" w:cs="Times New Roman"/>
          <w:i/>
          <w:iCs/>
          <w:color w:val="000000" w:themeColor="text1"/>
          <w:szCs w:val="26"/>
        </w:rPr>
        <w:t xml:space="preserve"> hóa thông tin kế toán</w:t>
      </w:r>
    </w:p>
    <w:p w14:paraId="0CE2BD1C" w14:textId="0D0F7FFD" w:rsidR="00136409" w:rsidRPr="00050474" w:rsidRDefault="00136409" w:rsidP="006A4166">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ab/>
      </w:r>
      <w:r w:rsidR="006A4166" w:rsidRPr="00050474">
        <w:rPr>
          <w:rStyle w:val="ng-star-inserted1"/>
          <w:rFonts w:ascii="Times New Roman" w:hAnsi="Times New Roman" w:cs="Times New Roman"/>
          <w:color w:val="000000" w:themeColor="text1"/>
          <w:szCs w:val="26"/>
        </w:rPr>
        <w:t>Công tác kiểm tra, đối chiếu số liệu trước khi lập báo cáo thực hiện khá bài bản (trên 90%). Tuy nhiên, hệ thống kiểm soát nội bộ còn yếu, 23,67% bệnh viện chưa thành lập bộ phận chuyên trách, dẫn đến rủi ro xung đột lợi ích khi phòng kế toán tự kiểm soát (37,96%). Về lưu trữ, 94,69% áp dụng mô hình hybrid (giấy và điện tử), nhưng quy trình tiêu hủy chứng từ còn thiếu đồng bộ và chưa tuân thủ chặt chẽ pháp luật.</w:t>
      </w:r>
    </w:p>
    <w:p w14:paraId="43F65A94" w14:textId="77777777" w:rsidR="006A4166" w:rsidRPr="00050474" w:rsidRDefault="006A4166" w:rsidP="006A4166">
      <w:pPr>
        <w:spacing w:line="360" w:lineRule="auto"/>
        <w:ind w:firstLine="567"/>
        <w:jc w:val="both"/>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rPr>
        <w:t xml:space="preserve">2.2.4 </w:t>
      </w:r>
      <w:r w:rsidR="00136409" w:rsidRPr="00050474">
        <w:rPr>
          <w:rFonts w:ascii="Times New Roman" w:hAnsi="Times New Roman" w:cs="Times New Roman"/>
          <w:i/>
          <w:iCs/>
          <w:color w:val="000000" w:themeColor="text1"/>
          <w:szCs w:val="26"/>
        </w:rPr>
        <w:t>Thực trạng tổ chức cung cấp thông tin kế toán</w:t>
      </w:r>
    </w:p>
    <w:p w14:paraId="717D9E88" w14:textId="2F49F7BB" w:rsidR="00136409" w:rsidRPr="00050474" w:rsidRDefault="00136409" w:rsidP="006A4166">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ab/>
      </w:r>
      <w:r w:rsidR="006A4166" w:rsidRPr="00050474">
        <w:rPr>
          <w:rStyle w:val="ng-star-inserted1"/>
          <w:rFonts w:ascii="Times New Roman" w:hAnsi="Times New Roman" w:cs="Times New Roman"/>
          <w:color w:val="000000" w:themeColor="text1"/>
          <w:szCs w:val="26"/>
        </w:rPr>
        <w:t>Các đơn vị chủ yếu áp dụng phương pháp FIFO cho tồn kho (78,37%) và khấu hao đường thẳng (64,08%). Hệ thống tài khoản bám sát chuẩn mực hiện hành (71,84%), thiếu sự tùy biến cho đặc thù quản trị. Mặc dù hạch toán doanh thu - chi phí cơ bản ổn định, các đơn vị tự chủ vẫn gặp thách thức lớn trong phân bổ chi phí giữa các nguồn kinh phí và đối soát dữ liệu BHYT liên ngành rất phức tạp.</w:t>
      </w:r>
    </w:p>
    <w:p w14:paraId="25F629B1" w14:textId="5CFDC7D7" w:rsidR="00136409" w:rsidRPr="00050474" w:rsidRDefault="006A4166" w:rsidP="006A4166">
      <w:pPr>
        <w:spacing w:line="360" w:lineRule="auto"/>
        <w:ind w:firstLine="567"/>
        <w:jc w:val="both"/>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rPr>
        <w:t xml:space="preserve">2.2.5 </w:t>
      </w:r>
      <w:r w:rsidR="00136409" w:rsidRPr="00050474">
        <w:rPr>
          <w:rFonts w:ascii="Times New Roman" w:hAnsi="Times New Roman" w:cs="Times New Roman"/>
          <w:i/>
          <w:iCs/>
          <w:color w:val="000000" w:themeColor="text1"/>
          <w:szCs w:val="26"/>
        </w:rPr>
        <w:t>Thực trạng tổ chức phân tích thông tin cho việc ra quyết định</w:t>
      </w:r>
      <w:bookmarkStart w:id="124" w:name="_Toc229148372"/>
    </w:p>
    <w:p w14:paraId="77B1128B" w14:textId="77777777" w:rsidR="006A4166" w:rsidRPr="00050474" w:rsidRDefault="006A4166" w:rsidP="006A4166">
      <w:pPr>
        <w:shd w:val="clear" w:color="auto" w:fill="FFFFFF"/>
        <w:spacing w:line="360" w:lineRule="auto"/>
        <w:ind w:firstLine="567"/>
        <w:jc w:val="both"/>
        <w:rPr>
          <w:rFonts w:ascii="Times New Roman" w:hAnsi="Times New Roman" w:cs="Times New Roman"/>
          <w:color w:val="000000" w:themeColor="text1"/>
          <w:szCs w:val="26"/>
        </w:rPr>
      </w:pPr>
      <w:r w:rsidRPr="00050474">
        <w:rPr>
          <w:rStyle w:val="ng-star-inserted1"/>
          <w:rFonts w:ascii="Times New Roman" w:hAnsi="Times New Roman" w:cs="Times New Roman"/>
          <w:color w:val="000000" w:themeColor="text1"/>
          <w:szCs w:val="26"/>
        </w:rPr>
        <w:t>Tỷ lệ lập BCTC đúng hạn đạt mức cao (95,92%), nhưng công khai qua website còn hạn chế (39,5%). Đáng chú ý, hệ thống kế toán quản trị còn sơ khai khi chỉ 24,49% đơn vị triển khai độc lập. Việc lập báo cáo nội bộ phục vụ ra quyết định chiến lược (định giá dịch vụ, phân tích biến động chi phí) chưa sâu sắc, phần lớn vẫn tập trung vào báo cáo tuân thủ theo yêu cầu của cơ quan quản lý.</w:t>
      </w:r>
    </w:p>
    <w:p w14:paraId="75A9FA18" w14:textId="77777777" w:rsidR="00136409" w:rsidRPr="00050474" w:rsidRDefault="0051710A" w:rsidP="00136409">
      <w:pPr>
        <w:spacing w:line="360" w:lineRule="auto"/>
        <w:contextualSpacing/>
        <w:rPr>
          <w:rStyle w:val="Heading1Char"/>
          <w:rFonts w:ascii="Times New Roman" w:hAnsi="Times New Roman" w:cs="Times New Roman"/>
          <w:b w:val="0"/>
          <w:color w:val="000000" w:themeColor="text1"/>
          <w:sz w:val="26"/>
          <w:szCs w:val="26"/>
          <w:lang w:val="vi-VN"/>
        </w:rPr>
      </w:pPr>
      <w:r w:rsidRPr="00050474">
        <w:rPr>
          <w:rStyle w:val="Heading1Char"/>
          <w:rFonts w:ascii="Times New Roman" w:hAnsi="Times New Roman" w:cs="Times New Roman"/>
          <w:b w:val="0"/>
          <w:color w:val="000000" w:themeColor="text1"/>
          <w:sz w:val="26"/>
          <w:szCs w:val="26"/>
          <w:lang w:val="vi-VN"/>
        </w:rPr>
        <w:t>2.</w:t>
      </w:r>
      <w:r w:rsidRPr="00050474">
        <w:rPr>
          <w:rStyle w:val="Heading1Char"/>
          <w:rFonts w:ascii="Times New Roman" w:hAnsi="Times New Roman" w:cs="Times New Roman"/>
          <w:b w:val="0"/>
          <w:color w:val="000000" w:themeColor="text1"/>
          <w:sz w:val="26"/>
          <w:szCs w:val="26"/>
        </w:rPr>
        <w:t>3</w:t>
      </w:r>
      <w:r w:rsidRPr="00050474">
        <w:rPr>
          <w:rStyle w:val="Heading1Char"/>
          <w:rFonts w:ascii="Times New Roman" w:hAnsi="Times New Roman" w:cs="Times New Roman"/>
          <w:b w:val="0"/>
          <w:color w:val="000000" w:themeColor="text1"/>
          <w:sz w:val="26"/>
          <w:szCs w:val="26"/>
          <w:lang w:val="vi-VN"/>
        </w:rPr>
        <w:t xml:space="preserve">. </w:t>
      </w:r>
      <w:r w:rsidRPr="00050474">
        <w:rPr>
          <w:rStyle w:val="Heading1Char"/>
          <w:rFonts w:ascii="Times New Roman" w:hAnsi="Times New Roman" w:cs="Times New Roman"/>
          <w:b w:val="0"/>
          <w:color w:val="000000" w:themeColor="text1"/>
          <w:sz w:val="26"/>
          <w:szCs w:val="26"/>
        </w:rPr>
        <w:t>Nhận xét về</w:t>
      </w:r>
      <w:r w:rsidRPr="00050474">
        <w:rPr>
          <w:rStyle w:val="Heading1Char"/>
          <w:rFonts w:ascii="Times New Roman" w:hAnsi="Times New Roman" w:cs="Times New Roman"/>
          <w:b w:val="0"/>
          <w:color w:val="000000" w:themeColor="text1"/>
          <w:sz w:val="26"/>
          <w:szCs w:val="26"/>
          <w:lang w:val="vi-VN"/>
        </w:rPr>
        <w:t xml:space="preserve"> thực trạng </w:t>
      </w:r>
      <w:r w:rsidRPr="00050474">
        <w:rPr>
          <w:rStyle w:val="Heading1Char"/>
          <w:rFonts w:ascii="Times New Roman" w:hAnsi="Times New Roman" w:cs="Times New Roman"/>
          <w:b w:val="0"/>
          <w:color w:val="000000" w:themeColor="text1"/>
          <w:sz w:val="26"/>
          <w:szCs w:val="26"/>
        </w:rPr>
        <w:t xml:space="preserve">tổ chức </w:t>
      </w:r>
      <w:r w:rsidRPr="00050474">
        <w:rPr>
          <w:rStyle w:val="Heading1Char"/>
          <w:rFonts w:ascii="Times New Roman" w:hAnsi="Times New Roman" w:cs="Times New Roman"/>
          <w:b w:val="0"/>
          <w:color w:val="000000" w:themeColor="text1"/>
          <w:sz w:val="26"/>
          <w:szCs w:val="26"/>
          <w:lang w:val="vi-VN"/>
        </w:rPr>
        <w:t xml:space="preserve">công tác kế toán tại </w:t>
      </w:r>
      <w:r w:rsidRPr="00050474">
        <w:rPr>
          <w:rStyle w:val="Heading1Char"/>
          <w:rFonts w:ascii="Times New Roman" w:hAnsi="Times New Roman" w:cs="Times New Roman"/>
          <w:b w:val="0"/>
          <w:color w:val="000000" w:themeColor="text1"/>
          <w:sz w:val="26"/>
          <w:szCs w:val="26"/>
        </w:rPr>
        <w:t xml:space="preserve">các </w:t>
      </w:r>
      <w:r w:rsidRPr="00050474">
        <w:rPr>
          <w:rStyle w:val="Heading1Char"/>
          <w:rFonts w:ascii="Times New Roman" w:hAnsi="Times New Roman" w:cs="Times New Roman"/>
          <w:b w:val="0"/>
          <w:color w:val="000000" w:themeColor="text1"/>
          <w:sz w:val="26"/>
          <w:szCs w:val="26"/>
          <w:lang w:val="vi-VN"/>
        </w:rPr>
        <w:t>bệnh viện công lập khu vực ĐBSCL</w:t>
      </w:r>
      <w:bookmarkStart w:id="125" w:name="_Toc229148373"/>
      <w:bookmarkEnd w:id="124"/>
    </w:p>
    <w:p w14:paraId="1F5D9778" w14:textId="77777777" w:rsidR="00136409" w:rsidRPr="00050474" w:rsidRDefault="0051710A" w:rsidP="00CE38AA">
      <w:pPr>
        <w:spacing w:line="360" w:lineRule="auto"/>
        <w:ind w:firstLine="567"/>
        <w:jc w:val="both"/>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rPr>
        <w:lastRenderedPageBreak/>
        <w:t>2.3.1. Ưu điểm trong tổ chức công tác kế toán</w:t>
      </w:r>
      <w:bookmarkStart w:id="126" w:name="_Toc229148374"/>
      <w:bookmarkEnd w:id="125"/>
    </w:p>
    <w:p w14:paraId="542F96FD" w14:textId="083EF51A" w:rsidR="0037451F" w:rsidRPr="00050474" w:rsidRDefault="0037451F" w:rsidP="0037451F">
      <w:pPr>
        <w:spacing w:line="360" w:lineRule="auto"/>
        <w:ind w:firstLine="567"/>
        <w:contextualSpacing/>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Luận án xác định một số ưu điểm điển hình về thực trạng tổ chức công tác kế toán tại các bệnh viện công lập khu vực ĐBCSL: 100% bệnh viện thiết lập bộ phận kế toán độc lập, tuân thủ nghiêm chuẩn mực và khung pháp lý mới (</w:t>
      </w:r>
      <w:r w:rsidR="002420DF" w:rsidRPr="00050474">
        <w:rPr>
          <w:rFonts w:ascii="Times New Roman" w:hAnsi="Times New Roman" w:cs="Times New Roman"/>
          <w:noProof/>
          <w:color w:val="000000" w:themeColor="text1"/>
          <w:szCs w:val="26"/>
          <w:lang w:val="vi-VN"/>
        </w:rPr>
        <w:t>Thông tư số 24/2024/TT-BTC</w:t>
      </w:r>
      <w:r w:rsidR="002420DF" w:rsidRPr="00050474">
        <w:rPr>
          <w:rFonts w:ascii="Times New Roman" w:hAnsi="Times New Roman" w:cs="Times New Roman"/>
          <w:color w:val="000000" w:themeColor="text1"/>
          <w:szCs w:val="26"/>
          <w:lang w:val="vi-VN"/>
        </w:rPr>
        <w:t xml:space="preserve"> về chế độ kế toán hành chính, sự nghiệp</w:t>
      </w:r>
      <w:r w:rsidRPr="00050474">
        <w:rPr>
          <w:rFonts w:ascii="Times New Roman" w:hAnsi="Times New Roman" w:cs="Times New Roman"/>
          <w:color w:val="000000" w:themeColor="text1"/>
          <w:szCs w:val="26"/>
        </w:rPr>
        <w:t>). Đội ngũ có trình độ chuyên môn cao, đảm bảo tỷ lệ lập báo cáo tài chính đúng hạn và đầy đủ đạt trên 95%.</w:t>
      </w:r>
    </w:p>
    <w:p w14:paraId="2D9292CC" w14:textId="6D9E8252" w:rsidR="0037451F" w:rsidRPr="00050474" w:rsidRDefault="0037451F" w:rsidP="0037451F">
      <w:pPr>
        <w:spacing w:line="360" w:lineRule="auto"/>
        <w:ind w:firstLine="567"/>
        <w:contextualSpacing/>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Sử dụng hiệu quả phần mềm chuyên dụng (MISA), triển khai rộng rãi chứng từ điện tử, thanh toán không dùng tiền mặt và kê khai thuế điện tử; Ban Giám đốc nhận thức rõ vai trò chiến lược của kế toán, chủ động đầu tư hạ tầng kỹ thuật hiện đại.</w:t>
      </w:r>
    </w:p>
    <w:p w14:paraId="457C8C94" w14:textId="6B167832" w:rsidR="0037451F" w:rsidRPr="00050474" w:rsidRDefault="0037451F" w:rsidP="0037451F">
      <w:pPr>
        <w:spacing w:line="360" w:lineRule="auto"/>
        <w:ind w:firstLine="567"/>
        <w:contextualSpacing/>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Quy trình kiểm tra, đối chiếu số liệu trước khi lập báo cáo được thực hiện hệ thống với tỷ lệ hoàn thành rất cao (thu chi đạt 97,55%, tồn kho và số dư đạt trên 93%), nâng cao độ tin cậy của thông tin tài chính.</w:t>
      </w:r>
    </w:p>
    <w:p w14:paraId="585C6B2C" w14:textId="21B8B175" w:rsidR="00136409" w:rsidRPr="00050474" w:rsidRDefault="0051710A" w:rsidP="00CE38AA">
      <w:pPr>
        <w:spacing w:line="360" w:lineRule="auto"/>
        <w:ind w:firstLine="567"/>
        <w:jc w:val="both"/>
        <w:rPr>
          <w:rFonts w:ascii="Times New Roman" w:hAnsi="Times New Roman" w:cs="Times New Roman"/>
          <w:color w:val="000000" w:themeColor="text1"/>
          <w:szCs w:val="26"/>
        </w:rPr>
      </w:pPr>
      <w:r w:rsidRPr="00050474">
        <w:rPr>
          <w:rFonts w:ascii="Times New Roman" w:hAnsi="Times New Roman" w:cs="Times New Roman"/>
          <w:i/>
          <w:iCs/>
          <w:color w:val="000000" w:themeColor="text1"/>
          <w:szCs w:val="26"/>
        </w:rPr>
        <w:t>2.3.2. Hạn chế trong tổ chức công tác kế toán tại các bệnh viện công lập ở khu vực ĐBSCL</w:t>
      </w:r>
      <w:bookmarkStart w:id="127" w:name="_Toc229148375"/>
      <w:bookmarkEnd w:id="126"/>
    </w:p>
    <w:p w14:paraId="5432051B" w14:textId="290DA244" w:rsidR="006A4166" w:rsidRPr="00050474" w:rsidRDefault="006A4166" w:rsidP="0037451F">
      <w:pPr>
        <w:spacing w:line="360" w:lineRule="auto"/>
        <w:ind w:firstLine="567"/>
        <w:contextualSpacing/>
        <w:jc w:val="both"/>
        <w:rPr>
          <w:rFonts w:ascii="Times New Roman" w:hAnsi="Times New Roman" w:cs="Times New Roman"/>
          <w:color w:val="000000" w:themeColor="text1"/>
          <w:szCs w:val="26"/>
        </w:rPr>
      </w:pPr>
      <w:r w:rsidRPr="00050474">
        <w:rPr>
          <w:rStyle w:val="ng-star-inserted1"/>
          <w:rFonts w:ascii="Times New Roman" w:hAnsi="Times New Roman" w:cs="Times New Roman"/>
          <w:color w:val="000000" w:themeColor="text1"/>
          <w:szCs w:val="26"/>
        </w:rPr>
        <w:t xml:space="preserve">Tổ chức hệ thống kế toán tại các bệnh viện </w:t>
      </w:r>
      <w:r w:rsidR="0037451F" w:rsidRPr="00050474">
        <w:rPr>
          <w:rStyle w:val="ng-star-inserted1"/>
          <w:rFonts w:ascii="Times New Roman" w:hAnsi="Times New Roman" w:cs="Times New Roman"/>
          <w:color w:val="000000" w:themeColor="text1"/>
          <w:szCs w:val="26"/>
        </w:rPr>
        <w:t xml:space="preserve">công </w:t>
      </w:r>
      <w:r w:rsidRPr="00050474">
        <w:rPr>
          <w:rStyle w:val="ng-star-inserted1"/>
          <w:rFonts w:ascii="Times New Roman" w:hAnsi="Times New Roman" w:cs="Times New Roman"/>
          <w:color w:val="000000" w:themeColor="text1"/>
          <w:szCs w:val="26"/>
        </w:rPr>
        <w:t>ĐBSCL hiện đối mặt một số hạn chế trọng yếu. Thứ nhất, hạ tầng công nghệ thông tin thiếu tính liên thông, với 51,02% đơn vị chưa tích hợp dữ liệu giữa kế toán và hệ thống quản lý bệnh viện (HIS/LIS)</w:t>
      </w:r>
      <w:r w:rsidR="0037451F" w:rsidRPr="00050474">
        <w:rPr>
          <w:rStyle w:val="ng-star-inserted1"/>
          <w:rFonts w:ascii="Times New Roman" w:hAnsi="Times New Roman" w:cs="Times New Roman"/>
          <w:color w:val="000000" w:themeColor="text1"/>
          <w:szCs w:val="26"/>
        </w:rPr>
        <w:t xml:space="preserve">, bên cạnh đó, kế toán quản trị chưa được quan tâm đúng mức (chỉ 24,49% triển khai), thiếu hụt các công cụ phân tích hiện đại để hỗ trợ ra quyết định chiến lược. Thứ hai, </w:t>
      </w:r>
      <w:r w:rsidRPr="00050474">
        <w:rPr>
          <w:rStyle w:val="ng-star-inserted1"/>
          <w:rFonts w:ascii="Times New Roman" w:hAnsi="Times New Roman" w:cs="Times New Roman"/>
          <w:color w:val="000000" w:themeColor="text1"/>
          <w:szCs w:val="26"/>
        </w:rPr>
        <w:t xml:space="preserve">cơ chế kiểm soát nội bộ còn mang tính hình thức, thiếu tính độc lập do phòng kế toán thường tự đảm nhiệm việc kiểm tra. Thứ </w:t>
      </w:r>
      <w:r w:rsidR="0037451F" w:rsidRPr="00050474">
        <w:rPr>
          <w:rStyle w:val="ng-star-inserted1"/>
          <w:rFonts w:ascii="Times New Roman" w:hAnsi="Times New Roman" w:cs="Times New Roman"/>
          <w:color w:val="000000" w:themeColor="text1"/>
          <w:szCs w:val="26"/>
        </w:rPr>
        <w:t>ba</w:t>
      </w:r>
      <w:r w:rsidRPr="00050474">
        <w:rPr>
          <w:rStyle w:val="ng-star-inserted1"/>
          <w:rFonts w:ascii="Times New Roman" w:hAnsi="Times New Roman" w:cs="Times New Roman"/>
          <w:color w:val="000000" w:themeColor="text1"/>
          <w:szCs w:val="26"/>
        </w:rPr>
        <w:t xml:space="preserve">, đội ngũ nhân sự còn mỏng, đặc biệt thiếu chuyên gia sâu về kế toán công và quản trị ở tuyến huyện. Thứ </w:t>
      </w:r>
      <w:r w:rsidR="0037451F" w:rsidRPr="00050474">
        <w:rPr>
          <w:rStyle w:val="ng-star-inserted1"/>
          <w:rFonts w:ascii="Times New Roman" w:hAnsi="Times New Roman" w:cs="Times New Roman"/>
          <w:color w:val="000000" w:themeColor="text1"/>
          <w:szCs w:val="26"/>
        </w:rPr>
        <w:t>tư</w:t>
      </w:r>
      <w:r w:rsidRPr="00050474">
        <w:rPr>
          <w:rStyle w:val="ng-star-inserted1"/>
          <w:rFonts w:ascii="Times New Roman" w:hAnsi="Times New Roman" w:cs="Times New Roman"/>
          <w:color w:val="000000" w:themeColor="text1"/>
          <w:szCs w:val="26"/>
        </w:rPr>
        <w:t xml:space="preserve">, sự lúng túng khi thích ứng với </w:t>
      </w:r>
      <w:r w:rsidR="002420DF" w:rsidRPr="00050474">
        <w:rPr>
          <w:rFonts w:ascii="Times New Roman" w:hAnsi="Times New Roman" w:cs="Times New Roman"/>
          <w:noProof/>
          <w:color w:val="000000" w:themeColor="text1"/>
          <w:szCs w:val="26"/>
          <w:lang w:val="vi-VN"/>
        </w:rPr>
        <w:t>Thông tư số 24/2024/TT-BTC</w:t>
      </w:r>
      <w:r w:rsidR="002420DF" w:rsidRPr="00050474">
        <w:rPr>
          <w:rFonts w:ascii="Times New Roman" w:hAnsi="Times New Roman" w:cs="Times New Roman"/>
          <w:color w:val="000000" w:themeColor="text1"/>
          <w:szCs w:val="26"/>
          <w:lang w:val="vi-VN"/>
        </w:rPr>
        <w:t xml:space="preserve"> về chế độ kế toán hành chính, sự nghiệp</w:t>
      </w:r>
      <w:r w:rsidRPr="00050474">
        <w:rPr>
          <w:rStyle w:val="ng-star-inserted1"/>
          <w:rFonts w:ascii="Times New Roman" w:hAnsi="Times New Roman" w:cs="Times New Roman"/>
          <w:color w:val="000000" w:themeColor="text1"/>
          <w:szCs w:val="26"/>
        </w:rPr>
        <w:t xml:space="preserve"> làm tăng áp lực công việc và rủi ro sai sót. </w:t>
      </w:r>
      <w:r w:rsidR="0037451F" w:rsidRPr="00050474">
        <w:rPr>
          <w:rStyle w:val="ng-star-inserted1"/>
          <w:rFonts w:ascii="Times New Roman" w:hAnsi="Times New Roman" w:cs="Times New Roman"/>
          <w:color w:val="000000" w:themeColor="text1"/>
          <w:szCs w:val="26"/>
        </w:rPr>
        <w:t>Tiếp theo</w:t>
      </w:r>
      <w:r w:rsidRPr="00050474">
        <w:rPr>
          <w:rStyle w:val="ng-star-inserted1"/>
          <w:rFonts w:ascii="Times New Roman" w:hAnsi="Times New Roman" w:cs="Times New Roman"/>
          <w:color w:val="000000" w:themeColor="text1"/>
          <w:szCs w:val="26"/>
        </w:rPr>
        <w:t>, quy trình kế toán chưa được chuẩn hóa đồng bộ, nhất là trong việc thực hiện các ước tính kế toán cuối kỳ, làm ảnh hưởng đến tính minh bạch và độ tin cậy của thông tin tài chính.</w:t>
      </w:r>
    </w:p>
    <w:p w14:paraId="5AE2CD9F" w14:textId="63C4B6D2" w:rsidR="00342633" w:rsidRPr="00050474" w:rsidRDefault="0051710A" w:rsidP="0037451F">
      <w:pPr>
        <w:spacing w:line="360" w:lineRule="auto"/>
        <w:ind w:firstLine="567"/>
        <w:jc w:val="both"/>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rPr>
        <w:t>2.3.3. Nguyên nhân hạn chế</w:t>
      </w:r>
      <w:bookmarkEnd w:id="127"/>
    </w:p>
    <w:p w14:paraId="0CA67A9F" w14:textId="77BA2CC7" w:rsidR="0037451F" w:rsidRPr="00050474" w:rsidRDefault="0037451F" w:rsidP="0037451F">
      <w:pPr>
        <w:spacing w:line="360" w:lineRule="auto"/>
        <w:ind w:firstLine="567"/>
        <w:contextualSpacing/>
        <w:jc w:val="both"/>
        <w:rPr>
          <w:rStyle w:val="ng-star-inserted1"/>
          <w:rFonts w:ascii="Times New Roman" w:hAnsi="Times New Roman" w:cs="Times New Roman"/>
          <w:color w:val="000000" w:themeColor="text1"/>
          <w:szCs w:val="26"/>
        </w:rPr>
      </w:pPr>
      <w:r w:rsidRPr="00050474">
        <w:rPr>
          <w:rStyle w:val="ng-star-inserted1"/>
          <w:rFonts w:ascii="Times New Roman" w:hAnsi="Times New Roman" w:cs="Times New Roman"/>
          <w:color w:val="000000" w:themeColor="text1"/>
          <w:szCs w:val="26"/>
        </w:rPr>
        <w:t xml:space="preserve">Các hạn chế trên bắt nguồn từ nhóm nguyên nhân khách quan và chủ quan. Về khách quan, sự thay đổi liên tục của chính sách kế toán và thiếu hướng dẫn triển khai </w:t>
      </w:r>
      <w:r w:rsidR="002420DF" w:rsidRPr="00050474">
        <w:rPr>
          <w:rFonts w:ascii="Times New Roman" w:hAnsi="Times New Roman" w:cs="Times New Roman"/>
          <w:noProof/>
          <w:color w:val="000000" w:themeColor="text1"/>
          <w:szCs w:val="26"/>
          <w:lang w:val="vi-VN"/>
        </w:rPr>
        <w:t>Thông tư số 24/2024/TT-BTC</w:t>
      </w:r>
      <w:r w:rsidR="002420DF" w:rsidRPr="00050474">
        <w:rPr>
          <w:rFonts w:ascii="Times New Roman" w:hAnsi="Times New Roman" w:cs="Times New Roman"/>
          <w:color w:val="000000" w:themeColor="text1"/>
          <w:szCs w:val="26"/>
          <w:lang w:val="vi-VN"/>
        </w:rPr>
        <w:t xml:space="preserve"> về chế độ kế toán hành chính, sự nghiệp</w:t>
      </w:r>
      <w:r w:rsidRPr="00050474">
        <w:rPr>
          <w:rStyle w:val="ng-star-inserted1"/>
          <w:rFonts w:ascii="Times New Roman" w:hAnsi="Times New Roman" w:cs="Times New Roman"/>
          <w:color w:val="000000" w:themeColor="text1"/>
          <w:szCs w:val="26"/>
        </w:rPr>
        <w:t xml:space="preserve"> chi tiết gây khó khăn cho việc thực thi. Đặc thù ngành y với nguồn kinh phí phức tạp (BHYT, ngân sách, viện trợ) cũng làm tăng độ khó trong hạch toán. Về chủ quan, nhận thức của lãnh đạo và năng lực của nhân viên về kế toán quản trị còn hạn chế, chủ yếu tập trung vào báo </w:t>
      </w:r>
      <w:r w:rsidRPr="00050474">
        <w:rPr>
          <w:rStyle w:val="ng-star-inserted1"/>
          <w:rFonts w:ascii="Times New Roman" w:hAnsi="Times New Roman" w:cs="Times New Roman"/>
          <w:color w:val="000000" w:themeColor="text1"/>
          <w:szCs w:val="26"/>
        </w:rPr>
        <w:lastRenderedPageBreak/>
        <w:t>cáo tuân thủ thay vì phân tích quản trị. Đặc biệt, sự thiếu hụt nguồn lực tài chính đã trực tiếp kìm hãm việc đầu tư vào hạ tầng công nghệ thông tin tích hợp và các chính sách đãi ngộ, đào tạo nhân sự chất lượng cao. Bên cạnh đó, cơ chế kiểm soát nội bộ chưa được thiết lập độc lập và phần mềm kế toán chưa cập nhật kịp thời các tính năng theo quy định mới cũng là những rào cản lớn ngăn chặn việc chuẩn hóa quy trình.</w:t>
      </w:r>
    </w:p>
    <w:p w14:paraId="54C33024" w14:textId="55C972CF" w:rsidR="0037451F" w:rsidRPr="00050474" w:rsidRDefault="0037451F" w:rsidP="0037451F">
      <w:pPr>
        <w:spacing w:line="360" w:lineRule="auto"/>
        <w:ind w:firstLine="567"/>
        <w:contextualSpacing/>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 xml:space="preserve">Như vậy, luận án nghiên cứu </w:t>
      </w:r>
      <w:r w:rsidR="00D36138" w:rsidRPr="00050474">
        <w:rPr>
          <w:rFonts w:ascii="Times New Roman" w:hAnsi="Times New Roman" w:cs="Times New Roman"/>
          <w:color w:val="000000" w:themeColor="text1"/>
          <w:szCs w:val="26"/>
        </w:rPr>
        <w:t xml:space="preserve">đã </w:t>
      </w:r>
      <w:r w:rsidRPr="00050474">
        <w:rPr>
          <w:rFonts w:ascii="Times New Roman" w:hAnsi="Times New Roman" w:cs="Times New Roman"/>
          <w:color w:val="000000" w:themeColor="text1"/>
          <w:szCs w:val="26"/>
        </w:rPr>
        <w:t>xác định nhân tố ảnh hưởng đến tổ chức công tác kế toán tại các bệnh viện công lập khu vực ĐBSCL gồm: Môi trường pháp lý, Công nghệ thông tin – Phần mềm kế toán, Năng lực của nhân viên kế toán, Nhu cầu thông tin kế toán, Quy trình lập dự toán, Quản lý rủi ro và Nguồn tài chính đầu tư.</w:t>
      </w:r>
    </w:p>
    <w:p w14:paraId="49F72E78" w14:textId="77777777" w:rsidR="00342633" w:rsidRPr="00050474" w:rsidRDefault="0051710A" w:rsidP="00136409">
      <w:pPr>
        <w:pStyle w:val="Heading1"/>
        <w:spacing w:line="360" w:lineRule="auto"/>
        <w:rPr>
          <w:rStyle w:val="Heading1Char"/>
          <w:b/>
          <w:color w:val="000000" w:themeColor="text1"/>
          <w:sz w:val="26"/>
          <w:szCs w:val="26"/>
          <w:lang w:val="vi-VN"/>
        </w:rPr>
      </w:pPr>
      <w:bookmarkStart w:id="128" w:name="_Toc229148325"/>
      <w:bookmarkStart w:id="129" w:name="_Toc210724217"/>
      <w:r w:rsidRPr="00050474">
        <w:rPr>
          <w:color w:val="000000" w:themeColor="text1"/>
          <w:sz w:val="26"/>
          <w:szCs w:val="26"/>
          <w:lang w:val="vi-VN"/>
        </w:rPr>
        <w:t>2.</w:t>
      </w:r>
      <w:r w:rsidRPr="00050474">
        <w:rPr>
          <w:color w:val="000000" w:themeColor="text1"/>
          <w:sz w:val="26"/>
          <w:szCs w:val="26"/>
        </w:rPr>
        <w:t>4</w:t>
      </w:r>
      <w:r w:rsidRPr="00050474">
        <w:rPr>
          <w:color w:val="000000" w:themeColor="text1"/>
          <w:sz w:val="26"/>
          <w:szCs w:val="26"/>
          <w:lang w:val="vi-VN"/>
        </w:rPr>
        <w:t xml:space="preserve">. </w:t>
      </w:r>
      <w:r w:rsidRPr="00050474">
        <w:rPr>
          <w:color w:val="000000" w:themeColor="text1"/>
          <w:sz w:val="26"/>
          <w:szCs w:val="26"/>
        </w:rPr>
        <w:t>Kiểm định các n</w:t>
      </w:r>
      <w:r w:rsidRPr="00050474">
        <w:rPr>
          <w:rStyle w:val="Heading1Char"/>
          <w:b/>
          <w:color w:val="000000" w:themeColor="text1"/>
          <w:sz w:val="26"/>
          <w:szCs w:val="26"/>
          <w:lang w:val="vi-VN"/>
        </w:rPr>
        <w:t xml:space="preserve">hân tố ảnh hưởng đến </w:t>
      </w:r>
      <w:r w:rsidRPr="00050474">
        <w:rPr>
          <w:rStyle w:val="Heading1Char"/>
          <w:b/>
          <w:color w:val="000000" w:themeColor="text1"/>
          <w:sz w:val="26"/>
          <w:szCs w:val="26"/>
        </w:rPr>
        <w:t xml:space="preserve">tổ chức </w:t>
      </w:r>
      <w:r w:rsidRPr="00050474">
        <w:rPr>
          <w:rStyle w:val="Heading1Char"/>
          <w:b/>
          <w:color w:val="000000" w:themeColor="text1"/>
          <w:sz w:val="26"/>
          <w:szCs w:val="26"/>
          <w:lang w:val="vi-VN"/>
        </w:rPr>
        <w:t xml:space="preserve">công tác kế toán </w:t>
      </w:r>
      <w:r w:rsidRPr="00050474">
        <w:rPr>
          <w:rStyle w:val="Heading1Char"/>
          <w:b/>
          <w:color w:val="000000" w:themeColor="text1"/>
          <w:sz w:val="26"/>
          <w:szCs w:val="26"/>
        </w:rPr>
        <w:t>tại các bệnh viện</w:t>
      </w:r>
      <w:r w:rsidRPr="00050474">
        <w:rPr>
          <w:rStyle w:val="Heading1Char"/>
          <w:b/>
          <w:color w:val="000000" w:themeColor="text1"/>
          <w:sz w:val="26"/>
          <w:szCs w:val="26"/>
          <w:lang w:val="vi-VN"/>
        </w:rPr>
        <w:t xml:space="preserve"> công lập ở </w:t>
      </w:r>
      <w:r w:rsidRPr="00050474">
        <w:rPr>
          <w:rStyle w:val="Heading1Char"/>
          <w:b/>
          <w:color w:val="000000" w:themeColor="text1"/>
          <w:sz w:val="26"/>
          <w:szCs w:val="26"/>
        </w:rPr>
        <w:t xml:space="preserve">khu vực </w:t>
      </w:r>
      <w:r w:rsidRPr="00050474">
        <w:rPr>
          <w:rStyle w:val="Heading1Char"/>
          <w:b/>
          <w:color w:val="000000" w:themeColor="text1"/>
          <w:sz w:val="26"/>
          <w:szCs w:val="26"/>
          <w:lang w:val="vi-VN"/>
        </w:rPr>
        <w:t>ĐBSCL</w:t>
      </w:r>
      <w:bookmarkEnd w:id="128"/>
      <w:bookmarkEnd w:id="129"/>
    </w:p>
    <w:p w14:paraId="2ABE860A" w14:textId="6CC831FA"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Kết quả phân tích hồi quy trong Bảng 2.23 cho thấy mô hình có độ phù hợp cao, với hệ số xác định R² đạt 0,782, nghĩa là khoảng 78,2% biến thiên trong tổ chức công tác kế toán có thể được giải thích bởi các biến độc lập trong mô hình. Trong số bảy nhân tố, có sáu nhân tố có ảnh hưởng có ý nghĩa thống kê (Sig. &lt; 0,05) đến tổ chức công tác kế toán. Thống kê đa cộng tuyến được kiểm tra thông qua hệ số lạm phát phương sai (VIF-Variance Inflation Factor), tất cả các biến đều có VIF nhỏ hơn 2,5 và độ dung sai lớn hơn 0,1. Kết quả thống kê cho thấy không có vấn đề nghiêm trọng về đa cộng tuyến trong mô hình. </w:t>
      </w:r>
    </w:p>
    <w:p w14:paraId="416431E6"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i/>
          <w:iCs/>
          <w:color w:val="000000" w:themeColor="text1"/>
          <w:szCs w:val="26"/>
          <w:lang w:val="vi-VN"/>
        </w:rPr>
        <w:t>Ý nghĩa và mức độ tác động của từng biến độc lập</w:t>
      </w:r>
      <w:r w:rsidRPr="00050474">
        <w:rPr>
          <w:rFonts w:ascii="Times New Roman" w:hAnsi="Times New Roman" w:cs="Times New Roman"/>
          <w:color w:val="000000" w:themeColor="text1"/>
          <w:szCs w:val="26"/>
          <w:lang w:val="vi-VN"/>
        </w:rPr>
        <w:t>:</w:t>
      </w:r>
    </w:p>
    <w:p w14:paraId="3BDB1E2B"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Năng lực nhân viên kế toán (</w:t>
      </w:r>
      <w:r w:rsidRPr="00050474">
        <w:rPr>
          <w:rFonts w:ascii="Times New Roman" w:hAnsi="Times New Roman" w:cs="Times New Roman"/>
          <w:i/>
          <w:iCs/>
          <w:color w:val="000000" w:themeColor="text1"/>
          <w:szCs w:val="26"/>
          <w:lang w:val="vi-VN"/>
        </w:rPr>
        <w:t>M_NLNVKT</w:t>
      </w:r>
      <w:r w:rsidRPr="00050474">
        <w:rPr>
          <w:rFonts w:ascii="Times New Roman" w:hAnsi="Times New Roman" w:cs="Times New Roman"/>
          <w:color w:val="000000" w:themeColor="text1"/>
          <w:szCs w:val="26"/>
          <w:lang w:val="vi-VN"/>
        </w:rPr>
        <w:t>) (Beta = 0,237; t = 7,135; Sig. = 0,000) phản ánh tác động tích cực và có ý nghĩa thống kê cao đến tổ chức công tác kế toán tại các bệnh viện công ở khu vực ĐBSCL. Kế toán viên có trình độ chuyên môn vững, kỹ năng sử dụng công nghệ và hiểu biết về chuẩn mực kế toán công sẽ trực tiếp quyết định độ chính xác và đầy đủ của thông tin kế toán. Kết quả này cho thấy rằng, đầu tư vào đào tạo và phát triển năng lực kế toán viên không chỉ là yêu cầu về mặt kỹ thuật mà còn là yếu tố chiến lược trong quá trình hiện đại hóa quản lý tài chính trong khu vực công.</w:t>
      </w:r>
    </w:p>
    <w:p w14:paraId="60213AC0"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Quản lý rủi ro (</w:t>
      </w:r>
      <w:r w:rsidRPr="00050474">
        <w:rPr>
          <w:rFonts w:ascii="Times New Roman" w:hAnsi="Times New Roman" w:cs="Times New Roman"/>
          <w:i/>
          <w:iCs/>
          <w:color w:val="000000" w:themeColor="text1"/>
          <w:szCs w:val="26"/>
          <w:lang w:val="vi-VN"/>
        </w:rPr>
        <w:t>M_QLRR</w:t>
      </w:r>
      <w:r w:rsidRPr="00050474">
        <w:rPr>
          <w:rFonts w:ascii="Times New Roman" w:hAnsi="Times New Roman" w:cs="Times New Roman"/>
          <w:color w:val="000000" w:themeColor="text1"/>
          <w:szCs w:val="26"/>
          <w:lang w:val="vi-VN"/>
        </w:rPr>
        <w:t xml:space="preserve">) cũng có ảnh hưởng đáng kể (Beta = 0,239; t = 5,548; Sig. = 0,000), nhấn mạnh tầm quan trọng của kiểm soát rủi ro trong môi trường kế toán bệnh viện công ở khu vực ĐBSCL. Khi hệ thống kiểm soát nội bộ được thiết lập tốt, rủi ro tài chính sẽ được phát hiện và xử lý kịp thời, đảm bảo độ tin cậy của thông tin kế toán. Kết quả này hàm ý rằng việc tăng cường vai trò kiểm toán nội bộ, phân tích rủi ro </w:t>
      </w:r>
      <w:r w:rsidRPr="00050474">
        <w:rPr>
          <w:rFonts w:ascii="Times New Roman" w:hAnsi="Times New Roman" w:cs="Times New Roman"/>
          <w:color w:val="000000" w:themeColor="text1"/>
          <w:szCs w:val="26"/>
          <w:lang w:val="vi-VN"/>
        </w:rPr>
        <w:lastRenderedPageBreak/>
        <w:t>và giám sát liên tục là hướng đi cần thiết, đặc biệt trong bối cảnh tự chủ tài chính và yêu cầu minh bạch ngày càng cao trong khu vực công.</w:t>
      </w:r>
    </w:p>
    <w:p w14:paraId="75D7BD80"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Công nghệ thông tin (</w:t>
      </w:r>
      <w:r w:rsidRPr="00050474">
        <w:rPr>
          <w:rFonts w:ascii="Times New Roman" w:hAnsi="Times New Roman" w:cs="Times New Roman"/>
          <w:i/>
          <w:iCs/>
          <w:color w:val="000000" w:themeColor="text1"/>
          <w:szCs w:val="26"/>
          <w:lang w:val="vi-VN"/>
        </w:rPr>
        <w:t>M_CNTT</w:t>
      </w:r>
      <w:r w:rsidRPr="00050474">
        <w:rPr>
          <w:rFonts w:ascii="Times New Roman" w:hAnsi="Times New Roman" w:cs="Times New Roman"/>
          <w:color w:val="000000" w:themeColor="text1"/>
          <w:szCs w:val="26"/>
          <w:lang w:val="vi-VN"/>
        </w:rPr>
        <w:t>) (Beta = 0,107; t = 2,873; Sig. = 0,004) cũng được xác định là các yếu tố có ảnh hưởng tích cực và đáng kể. Mặc dù mức tác động thấp hơn so với các yếu tố khác, nhưng vẫn có ý nghĩa thống kê. Điều này cho thấy CNTT đóng vai trò hỗ trợ quan trọng, nhất là trong việc tự động hóa quy trình kế toán, rút ngắn thời gian xử lý và tăng độ chính xác. Tuy nhiên, để phát huy vai trò thực sự, phần mềm kế toán cần được tích hợp với các hệ thống quản lý khác như HIS, BHYT và hệ thống ngân sách – đây là điểm còn thiếu hụt tại nhiều bệnh viện hiện nay.</w:t>
      </w:r>
    </w:p>
    <w:p w14:paraId="708DCAF6" w14:textId="1D6005DA"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bookmarkStart w:id="130" w:name="_Hlk217851200"/>
      <w:r w:rsidRPr="00050474">
        <w:rPr>
          <w:rFonts w:ascii="Times New Roman" w:hAnsi="Times New Roman" w:cs="Times New Roman"/>
          <w:color w:val="000000" w:themeColor="text1"/>
          <w:szCs w:val="26"/>
          <w:lang w:val="vi-VN"/>
        </w:rPr>
        <w:t>Môi trường pháp lý (</w:t>
      </w:r>
      <w:r w:rsidRPr="00050474">
        <w:rPr>
          <w:rFonts w:ascii="Times New Roman" w:hAnsi="Times New Roman" w:cs="Times New Roman"/>
          <w:i/>
          <w:iCs/>
          <w:color w:val="000000" w:themeColor="text1"/>
          <w:szCs w:val="26"/>
          <w:lang w:val="vi-VN"/>
        </w:rPr>
        <w:t>M_MTPL</w:t>
      </w:r>
      <w:r w:rsidRPr="00050474">
        <w:rPr>
          <w:rFonts w:ascii="Times New Roman" w:hAnsi="Times New Roman" w:cs="Times New Roman"/>
          <w:color w:val="000000" w:themeColor="text1"/>
          <w:szCs w:val="26"/>
          <w:lang w:val="vi-VN"/>
        </w:rPr>
        <w:t xml:space="preserve">) (Beta = 0,138; t = 3,470; Sig. = 0,001) có tác động đáng kể và tích cực đến tổ chức công tác kế toán. Khi các quy định như </w:t>
      </w:r>
      <w:r w:rsidR="002420DF" w:rsidRPr="00050474">
        <w:rPr>
          <w:rFonts w:ascii="Times New Roman" w:hAnsi="Times New Roman" w:cs="Times New Roman"/>
          <w:noProof/>
          <w:color w:val="000000" w:themeColor="text1"/>
          <w:szCs w:val="26"/>
          <w:lang w:val="vi-VN"/>
        </w:rPr>
        <w:t>Thông tư số 24/2024/TT-BTC</w:t>
      </w:r>
      <w:r w:rsidR="002420DF" w:rsidRPr="00050474">
        <w:rPr>
          <w:rFonts w:ascii="Times New Roman" w:hAnsi="Times New Roman" w:cs="Times New Roman"/>
          <w:color w:val="000000" w:themeColor="text1"/>
          <w:szCs w:val="26"/>
          <w:lang w:val="vi-VN"/>
        </w:rPr>
        <w:t xml:space="preserve"> về chế độ kế toán hành chính, sự nghiệp</w:t>
      </w:r>
      <w:r w:rsidRPr="00050474">
        <w:rPr>
          <w:rFonts w:ascii="Times New Roman" w:hAnsi="Times New Roman" w:cs="Times New Roman"/>
          <w:color w:val="000000" w:themeColor="text1"/>
          <w:szCs w:val="26"/>
          <w:lang w:val="vi-VN"/>
        </w:rPr>
        <w:t xml:space="preserve"> được ban hành rõ ràng, kịp thời và đi kèm hướng dẫn cụ thể, kế toán viên sẽ dễ dàng áp dụng và vận hành hệ thống kế toán đúng chuẩn. Tuy nhiên, nếu thiếu đồng bộ hoặc chậm ban hành văn bản hướng dẫn, sẽ gây lúng túng và làm giảm hiệu quả thực thi chính sách.</w:t>
      </w:r>
    </w:p>
    <w:bookmarkEnd w:id="130"/>
    <w:p w14:paraId="0AB03C20"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Nhu cầu thông tin kế toán (</w:t>
      </w:r>
      <w:r w:rsidRPr="00050474">
        <w:rPr>
          <w:rFonts w:ascii="Times New Roman" w:hAnsi="Times New Roman" w:cs="Times New Roman"/>
          <w:i/>
          <w:iCs/>
          <w:color w:val="000000" w:themeColor="text1"/>
          <w:szCs w:val="26"/>
          <w:lang w:val="vi-VN"/>
        </w:rPr>
        <w:t>M_NCTTKT</w:t>
      </w:r>
      <w:r w:rsidRPr="00050474">
        <w:rPr>
          <w:rFonts w:ascii="Times New Roman" w:hAnsi="Times New Roman" w:cs="Times New Roman"/>
          <w:color w:val="000000" w:themeColor="text1"/>
          <w:szCs w:val="26"/>
          <w:lang w:val="vi-VN"/>
        </w:rPr>
        <w:t xml:space="preserve">) (Beta = 0,109; t = 2,862; Sig. = 0,005) thể hiện rằng khi lãnh đạo đơn vị thực sự có nhu cầu sử dụng thông tin kế toán để ra quyết định, điều đó sẽ tạo áp lực tích cực để hệ thống kế toán vận hành hiệu quả hơn. </w:t>
      </w:r>
      <w:bookmarkStart w:id="131" w:name="_Hlk217851182"/>
    </w:p>
    <w:p w14:paraId="25FF5BBD"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Nguồn tài chính đầu tư (</w:t>
      </w:r>
      <w:r w:rsidRPr="00050474">
        <w:rPr>
          <w:rFonts w:ascii="Times New Roman" w:hAnsi="Times New Roman" w:cs="Times New Roman"/>
          <w:i/>
          <w:iCs/>
          <w:color w:val="000000" w:themeColor="text1"/>
          <w:szCs w:val="26"/>
          <w:lang w:val="vi-VN"/>
        </w:rPr>
        <w:t>M_NTCDT</w:t>
      </w:r>
      <w:r w:rsidRPr="00050474">
        <w:rPr>
          <w:rFonts w:ascii="Times New Roman" w:hAnsi="Times New Roman" w:cs="Times New Roman"/>
          <w:color w:val="000000" w:themeColor="text1"/>
          <w:szCs w:val="26"/>
          <w:lang w:val="vi-VN"/>
        </w:rPr>
        <w:t xml:space="preserve">) có ảnh hưởng mạnh nhất với hệ số hồi quy chuẩn hóa (Beta= 0,370, giá trị t = 7,877, Sig. = 0,000). Điều này cho thấy nguồn lực tài chính đóng vai trò then chốt trong việc tổ chức công tác kế toán tại các bệnh viện công khu vực ĐBSCL. Kết quả này củng cố lập luận rằng, để vận hành hệ thống kế toán hiệu quả, các bệnh viện công cần có nền tảng tài chính ổn định, đồng thời được trang bị hạ tầng kỹ thuật hiện đại, bao gồm phần mềm kế toán, máy chủ, mạng nội bộ và hệ thống lưu trữ điện tử. </w:t>
      </w:r>
    </w:p>
    <w:bookmarkEnd w:id="131"/>
    <w:p w14:paraId="506F1968" w14:textId="77777777" w:rsidR="00342633" w:rsidRPr="00050474" w:rsidRDefault="0051710A">
      <w:pPr>
        <w:spacing w:after="120"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Ngược lại, quy trình lập dự toán (</w:t>
      </w:r>
      <w:r w:rsidRPr="00050474">
        <w:rPr>
          <w:rFonts w:ascii="Times New Roman" w:hAnsi="Times New Roman" w:cs="Times New Roman"/>
          <w:i/>
          <w:iCs/>
          <w:color w:val="000000" w:themeColor="text1"/>
          <w:szCs w:val="26"/>
          <w:lang w:val="vi-VN"/>
        </w:rPr>
        <w:t>M_QTLDT</w:t>
      </w:r>
      <w:r w:rsidRPr="00050474">
        <w:rPr>
          <w:rFonts w:ascii="Times New Roman" w:hAnsi="Times New Roman" w:cs="Times New Roman"/>
          <w:color w:val="000000" w:themeColor="text1"/>
          <w:szCs w:val="26"/>
          <w:lang w:val="vi-VN"/>
        </w:rPr>
        <w:t xml:space="preserve">) không có ý nghĩa thống kê trong mô hình (Beta = 0,054; t = 1,293; Sig. = 0,197), mặc dù hệ số hồi quy dương. Điều này có thể phản ánh rằng, quy trình lập dự toán tại các bệnh viện hiện nay vẫn mang tính hình thức, chưa có sự phối hợp chặt chẽ giữa các phòng ban, chưa dựa trên dữ liệu thực tế hoặc chưa gắn với công tác kế toán quản trị. Kết quả này đặt ra yêu cầu cấp thiết về việc chuyên nghiệp hóa công tác lập dự toán, gắn chặt hơn với thông tin kế toán và áp dụng các công cụ phân tích chi phí – lợi ích để nâng cao hiệu quả lập kế hoạch tài chính. </w:t>
      </w:r>
    </w:p>
    <w:p w14:paraId="512E8A04" w14:textId="77777777" w:rsidR="00342633" w:rsidRPr="00050474" w:rsidRDefault="0051710A">
      <w:pPr>
        <w:spacing w:line="360" w:lineRule="auto"/>
        <w:ind w:firstLine="567"/>
        <w:jc w:val="both"/>
        <w:rPr>
          <w:rStyle w:val="Heading1Char"/>
          <w:rFonts w:ascii="Times New Roman" w:hAnsi="Times New Roman" w:cs="Times New Roman"/>
          <w:bCs w:val="0"/>
          <w:color w:val="000000" w:themeColor="text1"/>
          <w:szCs w:val="26"/>
          <w:lang w:val="vi-VN"/>
        </w:rPr>
      </w:pPr>
      <w:r w:rsidRPr="00050474">
        <w:rPr>
          <w:rFonts w:ascii="Times New Roman" w:hAnsi="Times New Roman" w:cs="Times New Roman"/>
          <w:color w:val="000000" w:themeColor="text1"/>
          <w:szCs w:val="26"/>
          <w:lang w:val="vi-VN"/>
        </w:rPr>
        <w:lastRenderedPageBreak/>
        <w:t>Tóm lại, kết quả phân tích hồi qui đa biến cho thấy tổ chức công tác kế toán tại các bệnh viện công khu vực ĐBSCL chịu ảnh hưởng bởi cả yếu tố con người, nguồn lực, công nghệ và thể chế. Trong đó, nguồn tài chính đầu tư, năng lực kế toán viên và hệ thống kiểm soát nội bộ là ba trụ cột quan trọng nhất. Kết quả này không chỉ củng cố lập luận lý thuyết mà còn cung cấp bằng chứng thực nghiệm quan trọng để hoạch định chính sách và cải cách kế toán công trong ngành y tế.</w:t>
      </w:r>
    </w:p>
    <w:p w14:paraId="01719020" w14:textId="77777777" w:rsidR="00342633" w:rsidRPr="00050474" w:rsidRDefault="0051710A" w:rsidP="0051710A">
      <w:pPr>
        <w:pStyle w:val="Heading5"/>
        <w:spacing w:line="360" w:lineRule="auto"/>
        <w:rPr>
          <w:rFonts w:ascii="Times New Roman" w:hAnsi="Times New Roman"/>
          <w:color w:val="000000" w:themeColor="text1"/>
          <w:sz w:val="26"/>
          <w:szCs w:val="26"/>
          <w:lang w:val="vi-VN"/>
        </w:rPr>
      </w:pPr>
      <w:bookmarkStart w:id="132" w:name="_Toc229148369"/>
      <w:bookmarkStart w:id="133" w:name="_Hlk217851220"/>
      <w:r w:rsidRPr="00050474">
        <w:rPr>
          <w:rFonts w:ascii="Times New Roman" w:hAnsi="Times New Roman"/>
          <w:color w:val="000000" w:themeColor="text1"/>
          <w:sz w:val="26"/>
          <w:szCs w:val="26"/>
          <w:lang w:val="vi-VN"/>
        </w:rPr>
        <w:t>Bảng 2.23: Các thông số thống kê của từng biến trong ph</w:t>
      </w:r>
      <w:r w:rsidRPr="00050474">
        <w:rPr>
          <w:rFonts w:ascii="Times New Roman" w:hAnsi="Times New Roman" w:hint="eastAsia"/>
          <w:color w:val="000000" w:themeColor="text1"/>
          <w:sz w:val="26"/>
          <w:szCs w:val="26"/>
          <w:lang w:val="vi-VN"/>
        </w:rPr>
        <w:t>ươ</w:t>
      </w:r>
      <w:r w:rsidRPr="00050474">
        <w:rPr>
          <w:rFonts w:ascii="Times New Roman" w:hAnsi="Times New Roman"/>
          <w:color w:val="000000" w:themeColor="text1"/>
          <w:sz w:val="26"/>
          <w:szCs w:val="26"/>
          <w:lang w:val="vi-VN"/>
        </w:rPr>
        <w:t>ng trình</w:t>
      </w:r>
      <w:bookmarkEnd w:id="132"/>
    </w:p>
    <w:tbl>
      <w:tblPr>
        <w:tblW w:w="9042" w:type="dxa"/>
        <w:tblInd w:w="-5" w:type="dxa"/>
        <w:tblBorders>
          <w:top w:val="single" w:sz="4" w:space="0" w:color="auto"/>
          <w:bottom w:val="single" w:sz="4" w:space="0" w:color="auto"/>
        </w:tblBorders>
        <w:tblLook w:val="04A0" w:firstRow="1" w:lastRow="0" w:firstColumn="1" w:lastColumn="0" w:noHBand="0" w:noVBand="1"/>
      </w:tblPr>
      <w:tblGrid>
        <w:gridCol w:w="1646"/>
        <w:gridCol w:w="1180"/>
        <w:gridCol w:w="1023"/>
        <w:gridCol w:w="1302"/>
        <w:gridCol w:w="801"/>
        <w:gridCol w:w="972"/>
        <w:gridCol w:w="1125"/>
        <w:gridCol w:w="993"/>
      </w:tblGrid>
      <w:tr w:rsidR="00050474" w:rsidRPr="00050474" w14:paraId="7435994E" w14:textId="77777777" w:rsidTr="00CB0922">
        <w:trPr>
          <w:trHeight w:val="212"/>
        </w:trPr>
        <w:tc>
          <w:tcPr>
            <w:tcW w:w="9042" w:type="dxa"/>
            <w:gridSpan w:val="8"/>
            <w:tcBorders>
              <w:bottom w:val="single" w:sz="4" w:space="0" w:color="auto"/>
            </w:tcBorders>
            <w:shd w:val="clear" w:color="auto" w:fill="E7E6E6" w:themeFill="background2"/>
            <w:vAlign w:val="center"/>
          </w:tcPr>
          <w:p w14:paraId="7CB2D8D7" w14:textId="77777777" w:rsidR="00342633" w:rsidRPr="00050474" w:rsidRDefault="0051710A">
            <w:pPr>
              <w:spacing w:line="360" w:lineRule="auto"/>
              <w:jc w:val="center"/>
              <w:rPr>
                <w:rFonts w:ascii="Times New Roman" w:hAnsi="Times New Roman" w:cs="Times New Roman"/>
                <w:b/>
                <w:bCs/>
                <w:color w:val="000000" w:themeColor="text1"/>
                <w:szCs w:val="26"/>
                <w:lang w:val="vi-VN"/>
              </w:rPr>
            </w:pPr>
            <w:bookmarkStart w:id="134" w:name="_Hlk222605031"/>
            <w:r w:rsidRPr="00050474">
              <w:rPr>
                <w:rFonts w:ascii="Times New Roman" w:hAnsi="Times New Roman" w:cs="Times New Roman"/>
                <w:b/>
                <w:bCs/>
                <w:color w:val="000000" w:themeColor="text1"/>
                <w:szCs w:val="26"/>
                <w:lang w:val="vi-VN"/>
              </w:rPr>
              <w:t>Biến phụ thuộc: M_TCCTKT</w:t>
            </w:r>
          </w:p>
        </w:tc>
      </w:tr>
      <w:tr w:rsidR="00050474" w:rsidRPr="00050474" w14:paraId="1B75906F" w14:textId="77777777" w:rsidTr="00CB0922">
        <w:trPr>
          <w:trHeight w:val="425"/>
        </w:trPr>
        <w:tc>
          <w:tcPr>
            <w:tcW w:w="1646" w:type="dxa"/>
            <w:vMerge w:val="restart"/>
            <w:tcBorders>
              <w:top w:val="single" w:sz="4" w:space="0" w:color="auto"/>
              <w:bottom w:val="nil"/>
            </w:tcBorders>
            <w:shd w:val="clear" w:color="auto" w:fill="E7E6E6" w:themeFill="background2"/>
            <w:vAlign w:val="center"/>
          </w:tcPr>
          <w:p w14:paraId="47472B9D"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Biến số</w:t>
            </w:r>
          </w:p>
        </w:tc>
        <w:tc>
          <w:tcPr>
            <w:tcW w:w="2203" w:type="dxa"/>
            <w:gridSpan w:val="2"/>
            <w:tcBorders>
              <w:top w:val="single" w:sz="4" w:space="0" w:color="auto"/>
              <w:bottom w:val="single" w:sz="4" w:space="0" w:color="auto"/>
            </w:tcBorders>
            <w:shd w:val="clear" w:color="auto" w:fill="E7E6E6" w:themeFill="background2"/>
            <w:vAlign w:val="center"/>
          </w:tcPr>
          <w:p w14:paraId="1060FDA1"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Các hệ số hồi quy chưa chuẩn hóa</w:t>
            </w:r>
          </w:p>
        </w:tc>
        <w:tc>
          <w:tcPr>
            <w:tcW w:w="1302" w:type="dxa"/>
            <w:tcBorders>
              <w:top w:val="single" w:sz="4" w:space="0" w:color="auto"/>
              <w:bottom w:val="nil"/>
            </w:tcBorders>
            <w:shd w:val="clear" w:color="auto" w:fill="E7E6E6" w:themeFill="background2"/>
            <w:vAlign w:val="center"/>
          </w:tcPr>
          <w:p w14:paraId="73EEC9EC"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Các hệ số hồi quy chuẩn hóa</w:t>
            </w:r>
          </w:p>
        </w:tc>
        <w:tc>
          <w:tcPr>
            <w:tcW w:w="801" w:type="dxa"/>
            <w:vMerge w:val="restart"/>
            <w:tcBorders>
              <w:top w:val="single" w:sz="4" w:space="0" w:color="auto"/>
              <w:bottom w:val="nil"/>
            </w:tcBorders>
            <w:shd w:val="clear" w:color="auto" w:fill="E7E6E6" w:themeFill="background2"/>
            <w:vAlign w:val="center"/>
          </w:tcPr>
          <w:p w14:paraId="2AC56B08"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Giá trị kiểm định t</w:t>
            </w:r>
          </w:p>
        </w:tc>
        <w:tc>
          <w:tcPr>
            <w:tcW w:w="972" w:type="dxa"/>
            <w:vMerge w:val="restart"/>
            <w:tcBorders>
              <w:top w:val="single" w:sz="4" w:space="0" w:color="auto"/>
              <w:bottom w:val="nil"/>
            </w:tcBorders>
            <w:shd w:val="clear" w:color="auto" w:fill="E7E6E6" w:themeFill="background2"/>
            <w:vAlign w:val="center"/>
          </w:tcPr>
          <w:p w14:paraId="72A7D4F7"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Mức ý nghĩa</w:t>
            </w:r>
          </w:p>
        </w:tc>
        <w:tc>
          <w:tcPr>
            <w:tcW w:w="2118" w:type="dxa"/>
            <w:gridSpan w:val="2"/>
            <w:tcBorders>
              <w:top w:val="single" w:sz="4" w:space="0" w:color="auto"/>
              <w:bottom w:val="single" w:sz="4" w:space="0" w:color="auto"/>
            </w:tcBorders>
            <w:shd w:val="clear" w:color="auto" w:fill="E7E6E6" w:themeFill="background2"/>
            <w:vAlign w:val="center"/>
          </w:tcPr>
          <w:p w14:paraId="2BA1F760"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Thống kê tính </w:t>
            </w:r>
          </w:p>
          <w:p w14:paraId="7F9BEA39"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đa cộng tuyến</w:t>
            </w:r>
          </w:p>
        </w:tc>
      </w:tr>
      <w:tr w:rsidR="00050474" w:rsidRPr="00050474" w14:paraId="49522096" w14:textId="77777777" w:rsidTr="00CB0922">
        <w:trPr>
          <w:trHeight w:val="425"/>
        </w:trPr>
        <w:tc>
          <w:tcPr>
            <w:tcW w:w="0" w:type="auto"/>
            <w:vMerge/>
            <w:tcBorders>
              <w:top w:val="nil"/>
              <w:bottom w:val="single" w:sz="4" w:space="0" w:color="auto"/>
            </w:tcBorders>
            <w:shd w:val="clear" w:color="auto" w:fill="E7E6E6" w:themeFill="background2"/>
            <w:vAlign w:val="center"/>
          </w:tcPr>
          <w:p w14:paraId="0832B264" w14:textId="77777777" w:rsidR="00342633" w:rsidRPr="00050474" w:rsidRDefault="00342633">
            <w:pPr>
              <w:spacing w:line="360" w:lineRule="auto"/>
              <w:rPr>
                <w:rFonts w:ascii="Times New Roman" w:hAnsi="Times New Roman" w:cs="Times New Roman"/>
                <w:color w:val="000000" w:themeColor="text1"/>
                <w:szCs w:val="26"/>
                <w:lang w:val="vi-VN"/>
              </w:rPr>
            </w:pPr>
          </w:p>
        </w:tc>
        <w:tc>
          <w:tcPr>
            <w:tcW w:w="1180" w:type="dxa"/>
            <w:tcBorders>
              <w:top w:val="single" w:sz="4" w:space="0" w:color="auto"/>
              <w:bottom w:val="single" w:sz="4" w:space="0" w:color="auto"/>
            </w:tcBorders>
            <w:shd w:val="clear" w:color="auto" w:fill="E7E6E6" w:themeFill="background2"/>
            <w:vAlign w:val="center"/>
          </w:tcPr>
          <w:p w14:paraId="1BF2656C"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Hệ số</w:t>
            </w:r>
          </w:p>
        </w:tc>
        <w:tc>
          <w:tcPr>
            <w:tcW w:w="1023" w:type="dxa"/>
            <w:tcBorders>
              <w:top w:val="single" w:sz="4" w:space="0" w:color="auto"/>
              <w:bottom w:val="single" w:sz="4" w:space="0" w:color="auto"/>
            </w:tcBorders>
            <w:shd w:val="clear" w:color="auto" w:fill="E7E6E6" w:themeFill="background2"/>
            <w:vAlign w:val="center"/>
          </w:tcPr>
          <w:p w14:paraId="3D299176"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Sai số chuẩn</w:t>
            </w:r>
          </w:p>
        </w:tc>
        <w:tc>
          <w:tcPr>
            <w:tcW w:w="1302" w:type="dxa"/>
            <w:tcBorders>
              <w:top w:val="nil"/>
              <w:bottom w:val="single" w:sz="4" w:space="0" w:color="auto"/>
            </w:tcBorders>
            <w:shd w:val="clear" w:color="auto" w:fill="E7E6E6" w:themeFill="background2"/>
            <w:vAlign w:val="center"/>
          </w:tcPr>
          <w:p w14:paraId="7EBE42AA"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Beta</w:t>
            </w:r>
          </w:p>
        </w:tc>
        <w:tc>
          <w:tcPr>
            <w:tcW w:w="0" w:type="auto"/>
            <w:vMerge/>
            <w:tcBorders>
              <w:top w:val="nil"/>
              <w:bottom w:val="single" w:sz="4" w:space="0" w:color="auto"/>
            </w:tcBorders>
            <w:shd w:val="clear" w:color="auto" w:fill="E7E6E6" w:themeFill="background2"/>
            <w:vAlign w:val="center"/>
          </w:tcPr>
          <w:p w14:paraId="64107C0D" w14:textId="77777777" w:rsidR="00342633" w:rsidRPr="00050474" w:rsidRDefault="00342633">
            <w:pPr>
              <w:spacing w:line="360" w:lineRule="auto"/>
              <w:rPr>
                <w:rFonts w:ascii="Times New Roman" w:hAnsi="Times New Roman" w:cs="Times New Roman"/>
                <w:color w:val="000000" w:themeColor="text1"/>
                <w:szCs w:val="26"/>
                <w:lang w:val="vi-VN"/>
              </w:rPr>
            </w:pPr>
          </w:p>
        </w:tc>
        <w:tc>
          <w:tcPr>
            <w:tcW w:w="0" w:type="auto"/>
            <w:vMerge/>
            <w:tcBorders>
              <w:top w:val="nil"/>
              <w:bottom w:val="single" w:sz="4" w:space="0" w:color="auto"/>
            </w:tcBorders>
            <w:shd w:val="clear" w:color="auto" w:fill="E7E6E6" w:themeFill="background2"/>
            <w:vAlign w:val="center"/>
          </w:tcPr>
          <w:p w14:paraId="6773E825" w14:textId="77777777" w:rsidR="00342633" w:rsidRPr="00050474" w:rsidRDefault="00342633">
            <w:pPr>
              <w:spacing w:line="360" w:lineRule="auto"/>
              <w:rPr>
                <w:rFonts w:ascii="Times New Roman" w:hAnsi="Times New Roman" w:cs="Times New Roman"/>
                <w:color w:val="000000" w:themeColor="text1"/>
                <w:szCs w:val="26"/>
                <w:lang w:val="vi-VN"/>
              </w:rPr>
            </w:pPr>
          </w:p>
        </w:tc>
        <w:tc>
          <w:tcPr>
            <w:tcW w:w="1125" w:type="dxa"/>
            <w:tcBorders>
              <w:top w:val="single" w:sz="4" w:space="0" w:color="auto"/>
              <w:bottom w:val="single" w:sz="4" w:space="0" w:color="auto"/>
            </w:tcBorders>
            <w:shd w:val="clear" w:color="auto" w:fill="E7E6E6" w:themeFill="background2"/>
            <w:vAlign w:val="center"/>
          </w:tcPr>
          <w:p w14:paraId="649DC315"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Độ dung sai</w:t>
            </w:r>
          </w:p>
        </w:tc>
        <w:tc>
          <w:tcPr>
            <w:tcW w:w="993" w:type="dxa"/>
            <w:tcBorders>
              <w:top w:val="single" w:sz="4" w:space="0" w:color="auto"/>
              <w:bottom w:val="single" w:sz="4" w:space="0" w:color="auto"/>
            </w:tcBorders>
            <w:shd w:val="clear" w:color="auto" w:fill="E7E6E6" w:themeFill="background2"/>
            <w:vAlign w:val="center"/>
          </w:tcPr>
          <w:p w14:paraId="1351EF33"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VIF</w:t>
            </w:r>
          </w:p>
        </w:tc>
      </w:tr>
      <w:tr w:rsidR="00050474" w:rsidRPr="00050474" w14:paraId="18AEB699" w14:textId="77777777" w:rsidTr="00CB0922">
        <w:trPr>
          <w:trHeight w:val="212"/>
        </w:trPr>
        <w:tc>
          <w:tcPr>
            <w:tcW w:w="1646" w:type="dxa"/>
            <w:tcBorders>
              <w:top w:val="single" w:sz="4" w:space="0" w:color="auto"/>
              <w:bottom w:val="nil"/>
            </w:tcBorders>
            <w:noWrap/>
          </w:tcPr>
          <w:p w14:paraId="6EB90902"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(Hằng số)</w:t>
            </w:r>
          </w:p>
        </w:tc>
        <w:tc>
          <w:tcPr>
            <w:tcW w:w="1180" w:type="dxa"/>
            <w:tcBorders>
              <w:top w:val="single" w:sz="4" w:space="0" w:color="auto"/>
              <w:bottom w:val="nil"/>
            </w:tcBorders>
            <w:noWrap/>
            <w:vAlign w:val="center"/>
          </w:tcPr>
          <w:p w14:paraId="4B9B8EDB"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0,421</w:t>
            </w:r>
          </w:p>
        </w:tc>
        <w:tc>
          <w:tcPr>
            <w:tcW w:w="1023" w:type="dxa"/>
            <w:tcBorders>
              <w:top w:val="single" w:sz="4" w:space="0" w:color="auto"/>
              <w:bottom w:val="nil"/>
            </w:tcBorders>
            <w:noWrap/>
            <w:vAlign w:val="center"/>
          </w:tcPr>
          <w:p w14:paraId="29C44E96"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0,177</w:t>
            </w:r>
          </w:p>
        </w:tc>
        <w:tc>
          <w:tcPr>
            <w:tcW w:w="1302" w:type="dxa"/>
            <w:tcBorders>
              <w:top w:val="single" w:sz="4" w:space="0" w:color="auto"/>
              <w:bottom w:val="nil"/>
            </w:tcBorders>
            <w:vAlign w:val="center"/>
          </w:tcPr>
          <w:p w14:paraId="6B07A0F6"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w:t>
            </w:r>
          </w:p>
        </w:tc>
        <w:tc>
          <w:tcPr>
            <w:tcW w:w="801" w:type="dxa"/>
            <w:tcBorders>
              <w:top w:val="single" w:sz="4" w:space="0" w:color="auto"/>
              <w:bottom w:val="nil"/>
            </w:tcBorders>
            <w:noWrap/>
            <w:vAlign w:val="center"/>
          </w:tcPr>
          <w:p w14:paraId="1EB700B8"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2,385</w:t>
            </w:r>
          </w:p>
        </w:tc>
        <w:tc>
          <w:tcPr>
            <w:tcW w:w="972" w:type="dxa"/>
            <w:tcBorders>
              <w:top w:val="single" w:sz="4" w:space="0" w:color="auto"/>
              <w:bottom w:val="nil"/>
            </w:tcBorders>
            <w:noWrap/>
            <w:vAlign w:val="center"/>
          </w:tcPr>
          <w:p w14:paraId="6DA3565A"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0,018</w:t>
            </w:r>
          </w:p>
        </w:tc>
        <w:tc>
          <w:tcPr>
            <w:tcW w:w="1125" w:type="dxa"/>
            <w:tcBorders>
              <w:top w:val="single" w:sz="4" w:space="0" w:color="auto"/>
              <w:bottom w:val="nil"/>
            </w:tcBorders>
            <w:vAlign w:val="center"/>
          </w:tcPr>
          <w:p w14:paraId="2E34ADC9"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w:t>
            </w:r>
          </w:p>
        </w:tc>
        <w:tc>
          <w:tcPr>
            <w:tcW w:w="993" w:type="dxa"/>
            <w:tcBorders>
              <w:top w:val="single" w:sz="4" w:space="0" w:color="auto"/>
              <w:bottom w:val="nil"/>
            </w:tcBorders>
            <w:vAlign w:val="center"/>
          </w:tcPr>
          <w:p w14:paraId="35FBD1DC"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w:t>
            </w:r>
          </w:p>
        </w:tc>
      </w:tr>
      <w:tr w:rsidR="00050474" w:rsidRPr="00050474" w14:paraId="2CDE2ED5" w14:textId="77777777" w:rsidTr="00CB0922">
        <w:trPr>
          <w:trHeight w:val="212"/>
        </w:trPr>
        <w:tc>
          <w:tcPr>
            <w:tcW w:w="1646" w:type="dxa"/>
            <w:tcBorders>
              <w:top w:val="nil"/>
              <w:bottom w:val="nil"/>
            </w:tcBorders>
            <w:noWrap/>
          </w:tcPr>
          <w:p w14:paraId="019FBE9D"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M_NLNVKT</w:t>
            </w:r>
          </w:p>
        </w:tc>
        <w:tc>
          <w:tcPr>
            <w:tcW w:w="1180" w:type="dxa"/>
            <w:tcBorders>
              <w:top w:val="nil"/>
              <w:bottom w:val="nil"/>
            </w:tcBorders>
            <w:noWrap/>
            <w:vAlign w:val="center"/>
          </w:tcPr>
          <w:p w14:paraId="686034E5"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0,110</w:t>
            </w:r>
          </w:p>
        </w:tc>
        <w:tc>
          <w:tcPr>
            <w:tcW w:w="1023" w:type="dxa"/>
            <w:tcBorders>
              <w:top w:val="nil"/>
              <w:bottom w:val="nil"/>
            </w:tcBorders>
            <w:noWrap/>
            <w:vAlign w:val="center"/>
          </w:tcPr>
          <w:p w14:paraId="4DDA274F"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0,015</w:t>
            </w:r>
          </w:p>
        </w:tc>
        <w:tc>
          <w:tcPr>
            <w:tcW w:w="1302" w:type="dxa"/>
            <w:tcBorders>
              <w:top w:val="nil"/>
              <w:bottom w:val="nil"/>
            </w:tcBorders>
            <w:noWrap/>
            <w:vAlign w:val="center"/>
          </w:tcPr>
          <w:p w14:paraId="4522D924"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0,237</w:t>
            </w:r>
          </w:p>
        </w:tc>
        <w:tc>
          <w:tcPr>
            <w:tcW w:w="801" w:type="dxa"/>
            <w:tcBorders>
              <w:top w:val="nil"/>
              <w:bottom w:val="nil"/>
            </w:tcBorders>
            <w:noWrap/>
            <w:vAlign w:val="center"/>
          </w:tcPr>
          <w:p w14:paraId="64F112F1"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7,135</w:t>
            </w:r>
          </w:p>
        </w:tc>
        <w:tc>
          <w:tcPr>
            <w:tcW w:w="972" w:type="dxa"/>
            <w:tcBorders>
              <w:top w:val="nil"/>
              <w:bottom w:val="nil"/>
            </w:tcBorders>
            <w:noWrap/>
            <w:vAlign w:val="center"/>
          </w:tcPr>
          <w:p w14:paraId="0F7091BA"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0,000</w:t>
            </w:r>
          </w:p>
        </w:tc>
        <w:tc>
          <w:tcPr>
            <w:tcW w:w="1125" w:type="dxa"/>
            <w:tcBorders>
              <w:top w:val="nil"/>
              <w:bottom w:val="nil"/>
            </w:tcBorders>
            <w:noWrap/>
            <w:vAlign w:val="center"/>
          </w:tcPr>
          <w:p w14:paraId="6C934ECE"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0,837</w:t>
            </w:r>
          </w:p>
        </w:tc>
        <w:tc>
          <w:tcPr>
            <w:tcW w:w="993" w:type="dxa"/>
            <w:tcBorders>
              <w:top w:val="nil"/>
              <w:bottom w:val="nil"/>
            </w:tcBorders>
            <w:noWrap/>
            <w:vAlign w:val="center"/>
          </w:tcPr>
          <w:p w14:paraId="6A43248D"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1,194</w:t>
            </w:r>
          </w:p>
        </w:tc>
      </w:tr>
      <w:tr w:rsidR="00050474" w:rsidRPr="00050474" w14:paraId="5BD0798B" w14:textId="77777777" w:rsidTr="00CB0922">
        <w:trPr>
          <w:trHeight w:val="212"/>
        </w:trPr>
        <w:tc>
          <w:tcPr>
            <w:tcW w:w="1646" w:type="dxa"/>
            <w:tcBorders>
              <w:top w:val="nil"/>
              <w:bottom w:val="nil"/>
            </w:tcBorders>
            <w:noWrap/>
          </w:tcPr>
          <w:p w14:paraId="62B773A6"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M_QTLDT</w:t>
            </w:r>
          </w:p>
        </w:tc>
        <w:tc>
          <w:tcPr>
            <w:tcW w:w="1180" w:type="dxa"/>
            <w:tcBorders>
              <w:top w:val="nil"/>
              <w:bottom w:val="nil"/>
            </w:tcBorders>
            <w:noWrap/>
            <w:vAlign w:val="center"/>
          </w:tcPr>
          <w:p w14:paraId="32DC9214"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0,053</w:t>
            </w:r>
          </w:p>
        </w:tc>
        <w:tc>
          <w:tcPr>
            <w:tcW w:w="1023" w:type="dxa"/>
            <w:tcBorders>
              <w:top w:val="nil"/>
              <w:bottom w:val="nil"/>
            </w:tcBorders>
            <w:noWrap/>
            <w:vAlign w:val="center"/>
          </w:tcPr>
          <w:p w14:paraId="52DCDCE3"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0,041</w:t>
            </w:r>
          </w:p>
        </w:tc>
        <w:tc>
          <w:tcPr>
            <w:tcW w:w="1302" w:type="dxa"/>
            <w:tcBorders>
              <w:top w:val="nil"/>
              <w:bottom w:val="nil"/>
            </w:tcBorders>
            <w:noWrap/>
            <w:vAlign w:val="center"/>
          </w:tcPr>
          <w:p w14:paraId="7E12BF36"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0,054</w:t>
            </w:r>
          </w:p>
        </w:tc>
        <w:tc>
          <w:tcPr>
            <w:tcW w:w="801" w:type="dxa"/>
            <w:tcBorders>
              <w:top w:val="nil"/>
              <w:bottom w:val="nil"/>
            </w:tcBorders>
            <w:noWrap/>
            <w:vAlign w:val="center"/>
          </w:tcPr>
          <w:p w14:paraId="303E7726"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1,293</w:t>
            </w:r>
          </w:p>
        </w:tc>
        <w:tc>
          <w:tcPr>
            <w:tcW w:w="972" w:type="dxa"/>
            <w:tcBorders>
              <w:top w:val="nil"/>
              <w:bottom w:val="nil"/>
            </w:tcBorders>
            <w:noWrap/>
            <w:vAlign w:val="center"/>
          </w:tcPr>
          <w:p w14:paraId="676DC272"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0,197</w:t>
            </w:r>
          </w:p>
        </w:tc>
        <w:tc>
          <w:tcPr>
            <w:tcW w:w="1125" w:type="dxa"/>
            <w:tcBorders>
              <w:top w:val="nil"/>
              <w:bottom w:val="nil"/>
            </w:tcBorders>
            <w:noWrap/>
            <w:vAlign w:val="center"/>
          </w:tcPr>
          <w:p w14:paraId="78C980DA"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0,524</w:t>
            </w:r>
          </w:p>
        </w:tc>
        <w:tc>
          <w:tcPr>
            <w:tcW w:w="993" w:type="dxa"/>
            <w:tcBorders>
              <w:top w:val="nil"/>
              <w:bottom w:val="nil"/>
            </w:tcBorders>
            <w:noWrap/>
            <w:vAlign w:val="center"/>
          </w:tcPr>
          <w:p w14:paraId="65612B8C"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1,908</w:t>
            </w:r>
          </w:p>
        </w:tc>
      </w:tr>
      <w:tr w:rsidR="00050474" w:rsidRPr="00050474" w14:paraId="4E826829" w14:textId="77777777" w:rsidTr="00CB0922">
        <w:trPr>
          <w:trHeight w:val="212"/>
        </w:trPr>
        <w:tc>
          <w:tcPr>
            <w:tcW w:w="1646" w:type="dxa"/>
            <w:tcBorders>
              <w:top w:val="nil"/>
              <w:bottom w:val="nil"/>
            </w:tcBorders>
            <w:noWrap/>
          </w:tcPr>
          <w:p w14:paraId="67D3A19C"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M_QLRR</w:t>
            </w:r>
          </w:p>
        </w:tc>
        <w:tc>
          <w:tcPr>
            <w:tcW w:w="1180" w:type="dxa"/>
            <w:tcBorders>
              <w:top w:val="nil"/>
              <w:bottom w:val="nil"/>
            </w:tcBorders>
            <w:noWrap/>
            <w:vAlign w:val="center"/>
          </w:tcPr>
          <w:p w14:paraId="3CEBCEE4"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0,222</w:t>
            </w:r>
          </w:p>
        </w:tc>
        <w:tc>
          <w:tcPr>
            <w:tcW w:w="1023" w:type="dxa"/>
            <w:tcBorders>
              <w:top w:val="nil"/>
              <w:bottom w:val="nil"/>
            </w:tcBorders>
            <w:noWrap/>
            <w:vAlign w:val="center"/>
          </w:tcPr>
          <w:p w14:paraId="3D6CC5EA"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0,040</w:t>
            </w:r>
          </w:p>
        </w:tc>
        <w:tc>
          <w:tcPr>
            <w:tcW w:w="1302" w:type="dxa"/>
            <w:tcBorders>
              <w:top w:val="nil"/>
              <w:bottom w:val="nil"/>
            </w:tcBorders>
            <w:noWrap/>
            <w:vAlign w:val="center"/>
          </w:tcPr>
          <w:p w14:paraId="10F1679F"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0,239</w:t>
            </w:r>
          </w:p>
        </w:tc>
        <w:tc>
          <w:tcPr>
            <w:tcW w:w="801" w:type="dxa"/>
            <w:tcBorders>
              <w:top w:val="nil"/>
              <w:bottom w:val="nil"/>
            </w:tcBorders>
            <w:noWrap/>
            <w:vAlign w:val="center"/>
          </w:tcPr>
          <w:p w14:paraId="1820E86D"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5,548</w:t>
            </w:r>
          </w:p>
        </w:tc>
        <w:tc>
          <w:tcPr>
            <w:tcW w:w="972" w:type="dxa"/>
            <w:tcBorders>
              <w:top w:val="nil"/>
              <w:bottom w:val="nil"/>
            </w:tcBorders>
            <w:noWrap/>
            <w:vAlign w:val="center"/>
          </w:tcPr>
          <w:p w14:paraId="418150C6"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0,000</w:t>
            </w:r>
          </w:p>
        </w:tc>
        <w:tc>
          <w:tcPr>
            <w:tcW w:w="1125" w:type="dxa"/>
            <w:tcBorders>
              <w:top w:val="nil"/>
              <w:bottom w:val="nil"/>
            </w:tcBorders>
            <w:noWrap/>
            <w:vAlign w:val="center"/>
          </w:tcPr>
          <w:p w14:paraId="19049818"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0,496</w:t>
            </w:r>
          </w:p>
        </w:tc>
        <w:tc>
          <w:tcPr>
            <w:tcW w:w="993" w:type="dxa"/>
            <w:tcBorders>
              <w:top w:val="nil"/>
              <w:bottom w:val="nil"/>
            </w:tcBorders>
            <w:noWrap/>
            <w:vAlign w:val="center"/>
          </w:tcPr>
          <w:p w14:paraId="604B943A"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2,015</w:t>
            </w:r>
          </w:p>
        </w:tc>
      </w:tr>
      <w:tr w:rsidR="00050474" w:rsidRPr="00050474" w14:paraId="0E226FA8" w14:textId="77777777" w:rsidTr="00CB0922">
        <w:trPr>
          <w:trHeight w:val="216"/>
        </w:trPr>
        <w:tc>
          <w:tcPr>
            <w:tcW w:w="1646" w:type="dxa"/>
            <w:tcBorders>
              <w:top w:val="nil"/>
              <w:bottom w:val="nil"/>
            </w:tcBorders>
            <w:noWrap/>
          </w:tcPr>
          <w:p w14:paraId="7BE2C6BB"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M_CNTT</w:t>
            </w:r>
          </w:p>
        </w:tc>
        <w:tc>
          <w:tcPr>
            <w:tcW w:w="1180" w:type="dxa"/>
            <w:tcBorders>
              <w:top w:val="nil"/>
              <w:bottom w:val="nil"/>
            </w:tcBorders>
            <w:noWrap/>
            <w:vAlign w:val="center"/>
          </w:tcPr>
          <w:p w14:paraId="45EEEBF8"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0,094</w:t>
            </w:r>
          </w:p>
        </w:tc>
        <w:tc>
          <w:tcPr>
            <w:tcW w:w="1023" w:type="dxa"/>
            <w:tcBorders>
              <w:top w:val="nil"/>
              <w:bottom w:val="nil"/>
            </w:tcBorders>
            <w:noWrap/>
            <w:vAlign w:val="center"/>
          </w:tcPr>
          <w:p w14:paraId="79DF62A1"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0,033</w:t>
            </w:r>
          </w:p>
        </w:tc>
        <w:tc>
          <w:tcPr>
            <w:tcW w:w="1302" w:type="dxa"/>
            <w:tcBorders>
              <w:top w:val="nil"/>
              <w:bottom w:val="nil"/>
            </w:tcBorders>
            <w:noWrap/>
            <w:vAlign w:val="center"/>
          </w:tcPr>
          <w:p w14:paraId="09D7BD04"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0,107</w:t>
            </w:r>
          </w:p>
        </w:tc>
        <w:tc>
          <w:tcPr>
            <w:tcW w:w="801" w:type="dxa"/>
            <w:tcBorders>
              <w:top w:val="nil"/>
              <w:bottom w:val="nil"/>
            </w:tcBorders>
            <w:noWrap/>
            <w:vAlign w:val="center"/>
          </w:tcPr>
          <w:p w14:paraId="347B061D"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2,873</w:t>
            </w:r>
          </w:p>
        </w:tc>
        <w:tc>
          <w:tcPr>
            <w:tcW w:w="972" w:type="dxa"/>
            <w:tcBorders>
              <w:top w:val="nil"/>
              <w:bottom w:val="nil"/>
            </w:tcBorders>
            <w:noWrap/>
            <w:vAlign w:val="center"/>
          </w:tcPr>
          <w:p w14:paraId="6EA66132"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0,004</w:t>
            </w:r>
          </w:p>
        </w:tc>
        <w:tc>
          <w:tcPr>
            <w:tcW w:w="1125" w:type="dxa"/>
            <w:tcBorders>
              <w:top w:val="nil"/>
              <w:bottom w:val="nil"/>
            </w:tcBorders>
            <w:noWrap/>
            <w:vAlign w:val="center"/>
          </w:tcPr>
          <w:p w14:paraId="7FEBB31F"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0,663</w:t>
            </w:r>
          </w:p>
        </w:tc>
        <w:tc>
          <w:tcPr>
            <w:tcW w:w="993" w:type="dxa"/>
            <w:tcBorders>
              <w:top w:val="nil"/>
              <w:bottom w:val="nil"/>
            </w:tcBorders>
            <w:noWrap/>
            <w:vAlign w:val="center"/>
          </w:tcPr>
          <w:p w14:paraId="1043A520"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1,507</w:t>
            </w:r>
          </w:p>
        </w:tc>
      </w:tr>
      <w:tr w:rsidR="00050474" w:rsidRPr="00050474" w14:paraId="6FC23C54" w14:textId="77777777" w:rsidTr="00CB0922">
        <w:trPr>
          <w:trHeight w:val="212"/>
        </w:trPr>
        <w:tc>
          <w:tcPr>
            <w:tcW w:w="1646" w:type="dxa"/>
            <w:tcBorders>
              <w:top w:val="nil"/>
              <w:bottom w:val="nil"/>
            </w:tcBorders>
            <w:noWrap/>
          </w:tcPr>
          <w:p w14:paraId="5A2227E4"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M_MTPL</w:t>
            </w:r>
          </w:p>
        </w:tc>
        <w:tc>
          <w:tcPr>
            <w:tcW w:w="1180" w:type="dxa"/>
            <w:tcBorders>
              <w:top w:val="nil"/>
              <w:bottom w:val="nil"/>
            </w:tcBorders>
            <w:noWrap/>
            <w:vAlign w:val="center"/>
          </w:tcPr>
          <w:p w14:paraId="6B6147F1"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0,116</w:t>
            </w:r>
          </w:p>
        </w:tc>
        <w:tc>
          <w:tcPr>
            <w:tcW w:w="1023" w:type="dxa"/>
            <w:tcBorders>
              <w:top w:val="nil"/>
              <w:bottom w:val="nil"/>
            </w:tcBorders>
            <w:noWrap/>
            <w:vAlign w:val="center"/>
          </w:tcPr>
          <w:p w14:paraId="0E11DAE5"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0,033</w:t>
            </w:r>
          </w:p>
        </w:tc>
        <w:tc>
          <w:tcPr>
            <w:tcW w:w="1302" w:type="dxa"/>
            <w:tcBorders>
              <w:top w:val="nil"/>
              <w:bottom w:val="nil"/>
            </w:tcBorders>
            <w:noWrap/>
            <w:vAlign w:val="center"/>
          </w:tcPr>
          <w:p w14:paraId="5E073DDC"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0,138</w:t>
            </w:r>
          </w:p>
        </w:tc>
        <w:tc>
          <w:tcPr>
            <w:tcW w:w="801" w:type="dxa"/>
            <w:tcBorders>
              <w:top w:val="nil"/>
              <w:bottom w:val="nil"/>
            </w:tcBorders>
            <w:noWrap/>
            <w:vAlign w:val="center"/>
          </w:tcPr>
          <w:p w14:paraId="56DD0360"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3,470</w:t>
            </w:r>
          </w:p>
        </w:tc>
        <w:tc>
          <w:tcPr>
            <w:tcW w:w="972" w:type="dxa"/>
            <w:tcBorders>
              <w:top w:val="nil"/>
              <w:bottom w:val="nil"/>
            </w:tcBorders>
            <w:noWrap/>
            <w:vAlign w:val="center"/>
          </w:tcPr>
          <w:p w14:paraId="77D76DA3"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0,001</w:t>
            </w:r>
          </w:p>
        </w:tc>
        <w:tc>
          <w:tcPr>
            <w:tcW w:w="1125" w:type="dxa"/>
            <w:tcBorders>
              <w:top w:val="nil"/>
              <w:bottom w:val="nil"/>
            </w:tcBorders>
            <w:noWrap/>
            <w:vAlign w:val="center"/>
          </w:tcPr>
          <w:p w14:paraId="1E95F868"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0,583</w:t>
            </w:r>
          </w:p>
        </w:tc>
        <w:tc>
          <w:tcPr>
            <w:tcW w:w="993" w:type="dxa"/>
            <w:tcBorders>
              <w:top w:val="nil"/>
              <w:bottom w:val="nil"/>
            </w:tcBorders>
            <w:noWrap/>
            <w:vAlign w:val="center"/>
          </w:tcPr>
          <w:p w14:paraId="7A6780B9"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1,716</w:t>
            </w:r>
          </w:p>
        </w:tc>
      </w:tr>
      <w:tr w:rsidR="00050474" w:rsidRPr="00050474" w14:paraId="6B935401" w14:textId="77777777" w:rsidTr="00CB0922">
        <w:trPr>
          <w:trHeight w:val="212"/>
        </w:trPr>
        <w:tc>
          <w:tcPr>
            <w:tcW w:w="1646" w:type="dxa"/>
            <w:tcBorders>
              <w:top w:val="nil"/>
              <w:bottom w:val="nil"/>
            </w:tcBorders>
            <w:noWrap/>
          </w:tcPr>
          <w:p w14:paraId="09915DED"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M_NCTTKT</w:t>
            </w:r>
          </w:p>
        </w:tc>
        <w:tc>
          <w:tcPr>
            <w:tcW w:w="1180" w:type="dxa"/>
            <w:tcBorders>
              <w:top w:val="nil"/>
              <w:bottom w:val="nil"/>
            </w:tcBorders>
            <w:noWrap/>
            <w:vAlign w:val="center"/>
          </w:tcPr>
          <w:p w14:paraId="28CD06DE"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0,103</w:t>
            </w:r>
          </w:p>
        </w:tc>
        <w:tc>
          <w:tcPr>
            <w:tcW w:w="1023" w:type="dxa"/>
            <w:tcBorders>
              <w:top w:val="nil"/>
              <w:bottom w:val="nil"/>
            </w:tcBorders>
            <w:noWrap/>
            <w:vAlign w:val="center"/>
          </w:tcPr>
          <w:p w14:paraId="5C8D4E36"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0,036</w:t>
            </w:r>
          </w:p>
        </w:tc>
        <w:tc>
          <w:tcPr>
            <w:tcW w:w="1302" w:type="dxa"/>
            <w:tcBorders>
              <w:top w:val="nil"/>
              <w:bottom w:val="nil"/>
            </w:tcBorders>
            <w:noWrap/>
            <w:vAlign w:val="center"/>
          </w:tcPr>
          <w:p w14:paraId="33FE461C"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0,109</w:t>
            </w:r>
          </w:p>
        </w:tc>
        <w:tc>
          <w:tcPr>
            <w:tcW w:w="801" w:type="dxa"/>
            <w:tcBorders>
              <w:top w:val="nil"/>
              <w:bottom w:val="nil"/>
            </w:tcBorders>
            <w:noWrap/>
            <w:vAlign w:val="center"/>
          </w:tcPr>
          <w:p w14:paraId="3CD46781"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2,862</w:t>
            </w:r>
          </w:p>
        </w:tc>
        <w:tc>
          <w:tcPr>
            <w:tcW w:w="972" w:type="dxa"/>
            <w:tcBorders>
              <w:top w:val="nil"/>
              <w:bottom w:val="nil"/>
            </w:tcBorders>
            <w:noWrap/>
            <w:vAlign w:val="center"/>
          </w:tcPr>
          <w:p w14:paraId="3B9396B5"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0,005</w:t>
            </w:r>
          </w:p>
        </w:tc>
        <w:tc>
          <w:tcPr>
            <w:tcW w:w="1125" w:type="dxa"/>
            <w:tcBorders>
              <w:top w:val="nil"/>
              <w:bottom w:val="nil"/>
            </w:tcBorders>
            <w:noWrap/>
            <w:vAlign w:val="center"/>
          </w:tcPr>
          <w:p w14:paraId="2809653D"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0,632</w:t>
            </w:r>
          </w:p>
        </w:tc>
        <w:tc>
          <w:tcPr>
            <w:tcW w:w="993" w:type="dxa"/>
            <w:tcBorders>
              <w:top w:val="nil"/>
              <w:bottom w:val="nil"/>
            </w:tcBorders>
            <w:noWrap/>
            <w:vAlign w:val="center"/>
          </w:tcPr>
          <w:p w14:paraId="0B7D9394"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1,582</w:t>
            </w:r>
          </w:p>
        </w:tc>
      </w:tr>
      <w:tr w:rsidR="00050474" w:rsidRPr="00050474" w14:paraId="0E945609" w14:textId="77777777" w:rsidTr="00CB0922">
        <w:trPr>
          <w:trHeight w:val="212"/>
        </w:trPr>
        <w:tc>
          <w:tcPr>
            <w:tcW w:w="1646" w:type="dxa"/>
            <w:tcBorders>
              <w:top w:val="nil"/>
              <w:bottom w:val="single" w:sz="4" w:space="0" w:color="auto"/>
            </w:tcBorders>
            <w:noWrap/>
          </w:tcPr>
          <w:p w14:paraId="0E0A8FE5" w14:textId="77777777" w:rsidR="00342633" w:rsidRPr="00050474" w:rsidRDefault="0051710A">
            <w:pPr>
              <w:spacing w:line="360" w:lineRule="auto"/>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M_NTCDT</w:t>
            </w:r>
          </w:p>
        </w:tc>
        <w:tc>
          <w:tcPr>
            <w:tcW w:w="1180" w:type="dxa"/>
            <w:tcBorders>
              <w:top w:val="nil"/>
              <w:bottom w:val="single" w:sz="4" w:space="0" w:color="auto"/>
            </w:tcBorders>
            <w:noWrap/>
            <w:vAlign w:val="center"/>
          </w:tcPr>
          <w:p w14:paraId="463EFC76"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0,309</w:t>
            </w:r>
          </w:p>
        </w:tc>
        <w:tc>
          <w:tcPr>
            <w:tcW w:w="1023" w:type="dxa"/>
            <w:tcBorders>
              <w:top w:val="nil"/>
              <w:bottom w:val="single" w:sz="4" w:space="0" w:color="auto"/>
            </w:tcBorders>
            <w:noWrap/>
            <w:vAlign w:val="center"/>
          </w:tcPr>
          <w:p w14:paraId="79682483"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0,039</w:t>
            </w:r>
          </w:p>
        </w:tc>
        <w:tc>
          <w:tcPr>
            <w:tcW w:w="1302" w:type="dxa"/>
            <w:tcBorders>
              <w:top w:val="nil"/>
              <w:bottom w:val="single" w:sz="4" w:space="0" w:color="auto"/>
            </w:tcBorders>
            <w:noWrap/>
            <w:vAlign w:val="center"/>
          </w:tcPr>
          <w:p w14:paraId="2B4DBA24"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0,370</w:t>
            </w:r>
          </w:p>
        </w:tc>
        <w:tc>
          <w:tcPr>
            <w:tcW w:w="801" w:type="dxa"/>
            <w:tcBorders>
              <w:top w:val="nil"/>
              <w:bottom w:val="single" w:sz="4" w:space="0" w:color="auto"/>
            </w:tcBorders>
            <w:noWrap/>
            <w:vAlign w:val="center"/>
          </w:tcPr>
          <w:p w14:paraId="5FEAB6FE"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7,877</w:t>
            </w:r>
          </w:p>
        </w:tc>
        <w:tc>
          <w:tcPr>
            <w:tcW w:w="972" w:type="dxa"/>
            <w:tcBorders>
              <w:top w:val="nil"/>
              <w:bottom w:val="single" w:sz="4" w:space="0" w:color="auto"/>
            </w:tcBorders>
            <w:noWrap/>
            <w:vAlign w:val="center"/>
          </w:tcPr>
          <w:p w14:paraId="4A7B05CA"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0,000</w:t>
            </w:r>
          </w:p>
        </w:tc>
        <w:tc>
          <w:tcPr>
            <w:tcW w:w="1125" w:type="dxa"/>
            <w:tcBorders>
              <w:top w:val="nil"/>
              <w:bottom w:val="single" w:sz="4" w:space="0" w:color="auto"/>
            </w:tcBorders>
            <w:noWrap/>
            <w:vAlign w:val="center"/>
          </w:tcPr>
          <w:p w14:paraId="6C99F637"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0,416</w:t>
            </w:r>
          </w:p>
        </w:tc>
        <w:tc>
          <w:tcPr>
            <w:tcW w:w="993" w:type="dxa"/>
            <w:tcBorders>
              <w:top w:val="nil"/>
              <w:bottom w:val="single" w:sz="4" w:space="0" w:color="auto"/>
            </w:tcBorders>
            <w:noWrap/>
            <w:vAlign w:val="center"/>
          </w:tcPr>
          <w:p w14:paraId="69878208" w14:textId="77777777" w:rsidR="00342633" w:rsidRPr="00050474" w:rsidRDefault="0051710A">
            <w:pPr>
              <w:spacing w:line="360" w:lineRule="auto"/>
              <w:jc w:val="center"/>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2,403</w:t>
            </w:r>
          </w:p>
        </w:tc>
      </w:tr>
      <w:tr w:rsidR="00050474" w:rsidRPr="00050474" w14:paraId="24187D89" w14:textId="77777777" w:rsidTr="00CB0922">
        <w:trPr>
          <w:trHeight w:val="212"/>
        </w:trPr>
        <w:tc>
          <w:tcPr>
            <w:tcW w:w="9042" w:type="dxa"/>
            <w:gridSpan w:val="8"/>
            <w:tcBorders>
              <w:top w:val="single" w:sz="4" w:space="0" w:color="auto"/>
            </w:tcBorders>
            <w:noWrap/>
            <w:vAlign w:val="center"/>
          </w:tcPr>
          <w:p w14:paraId="6BB544AC" w14:textId="16EC1A25" w:rsidR="00342633" w:rsidRPr="00050474" w:rsidRDefault="0051710A">
            <w:pPr>
              <w:spacing w:line="360" w:lineRule="auto"/>
              <w:rPr>
                <w:rFonts w:ascii="Times New Roman" w:hAnsi="Times New Roman" w:cs="Times New Roman"/>
                <w:i/>
                <w:iCs/>
                <w:color w:val="000000" w:themeColor="text1"/>
                <w:szCs w:val="26"/>
              </w:rPr>
            </w:pPr>
            <w:r w:rsidRPr="00050474">
              <w:rPr>
                <w:rFonts w:ascii="Times New Roman" w:hAnsi="Times New Roman" w:cs="Times New Roman"/>
                <w:i/>
                <w:iCs/>
                <w:color w:val="000000" w:themeColor="text1"/>
                <w:szCs w:val="26"/>
                <w:lang w:val="vi-VN"/>
              </w:rPr>
              <w:t>R</w:t>
            </w:r>
            <w:r w:rsidRPr="00050474">
              <w:rPr>
                <w:rFonts w:ascii="Times New Roman" w:hAnsi="Times New Roman" w:cs="Times New Roman"/>
                <w:i/>
                <w:iCs/>
                <w:color w:val="000000" w:themeColor="text1"/>
                <w:szCs w:val="26"/>
                <w:vertAlign w:val="superscript"/>
                <w:lang w:val="vi-VN"/>
              </w:rPr>
              <w:t>2</w:t>
            </w:r>
            <w:r w:rsidRPr="00050474">
              <w:rPr>
                <w:rFonts w:ascii="Times New Roman" w:hAnsi="Times New Roman" w:cs="Times New Roman"/>
                <w:i/>
                <w:iCs/>
                <w:color w:val="000000" w:themeColor="text1"/>
                <w:szCs w:val="26"/>
                <w:lang w:val="vi-VN"/>
              </w:rPr>
              <w:t>=0,782</w:t>
            </w:r>
            <w:r w:rsidR="00CB0922" w:rsidRPr="00050474">
              <w:rPr>
                <w:rFonts w:ascii="Times New Roman" w:hAnsi="Times New Roman" w:cs="Times New Roman"/>
                <w:i/>
                <w:iCs/>
                <w:color w:val="000000" w:themeColor="text1"/>
                <w:szCs w:val="26"/>
              </w:rPr>
              <w:t xml:space="preserve">; </w:t>
            </w:r>
            <w:r w:rsidR="00CB0922" w:rsidRPr="00050474">
              <w:rPr>
                <w:rFonts w:ascii="Times New Roman" w:hAnsi="Times New Roman" w:cs="Times New Roman"/>
                <w:i/>
                <w:iCs/>
                <w:color w:val="000000" w:themeColor="text1"/>
                <w:szCs w:val="26"/>
                <w:lang w:val="vi-VN"/>
              </w:rPr>
              <w:t>F=121,355</w:t>
            </w:r>
            <w:r w:rsidR="00CB0922" w:rsidRPr="00050474">
              <w:rPr>
                <w:rFonts w:ascii="Times New Roman" w:hAnsi="Times New Roman" w:cs="Times New Roman"/>
                <w:i/>
                <w:iCs/>
                <w:color w:val="000000" w:themeColor="text1"/>
                <w:szCs w:val="26"/>
              </w:rPr>
              <w:t xml:space="preserve">; </w:t>
            </w:r>
            <w:r w:rsidR="00CB0922" w:rsidRPr="00050474">
              <w:rPr>
                <w:rFonts w:ascii="Times New Roman" w:hAnsi="Times New Roman" w:cs="Times New Roman"/>
                <w:i/>
                <w:iCs/>
                <w:color w:val="000000" w:themeColor="text1"/>
                <w:szCs w:val="26"/>
                <w:lang w:val="vi-VN"/>
              </w:rPr>
              <w:t>Durbin-Watson=1,920</w:t>
            </w:r>
            <w:r w:rsidR="00CB0922" w:rsidRPr="00050474">
              <w:rPr>
                <w:rFonts w:ascii="Times New Roman" w:hAnsi="Times New Roman" w:cs="Times New Roman"/>
                <w:i/>
                <w:iCs/>
                <w:color w:val="000000" w:themeColor="text1"/>
                <w:szCs w:val="26"/>
              </w:rPr>
              <w:t xml:space="preserve">; </w:t>
            </w:r>
            <w:r w:rsidR="00CB0922" w:rsidRPr="00050474">
              <w:rPr>
                <w:rFonts w:ascii="Times New Roman" w:hAnsi="Times New Roman" w:cs="Times New Roman"/>
                <w:i/>
                <w:iCs/>
                <w:color w:val="000000" w:themeColor="text1"/>
                <w:szCs w:val="26"/>
                <w:lang w:val="vi-VN"/>
              </w:rPr>
              <w:t>N=245</w:t>
            </w:r>
          </w:p>
        </w:tc>
      </w:tr>
      <w:bookmarkEnd w:id="133"/>
      <w:bookmarkEnd w:id="134"/>
    </w:tbl>
    <w:p w14:paraId="2F96D6C2" w14:textId="77777777" w:rsidR="00342633" w:rsidRPr="00050474" w:rsidRDefault="00342633">
      <w:pPr>
        <w:rPr>
          <w:color w:val="000000" w:themeColor="text1"/>
        </w:rPr>
      </w:pPr>
    </w:p>
    <w:p w14:paraId="48B9AB37" w14:textId="77777777" w:rsidR="00342633" w:rsidRPr="00050474" w:rsidRDefault="0051710A">
      <w:pPr>
        <w:pStyle w:val="Heading1"/>
        <w:spacing w:before="0" w:after="0" w:line="360" w:lineRule="auto"/>
        <w:ind w:left="0" w:firstLine="0"/>
        <w:jc w:val="center"/>
        <w:rPr>
          <w:rStyle w:val="Heading1Char"/>
          <w:b/>
          <w:bCs/>
          <w:color w:val="000000" w:themeColor="text1"/>
          <w:sz w:val="26"/>
          <w:szCs w:val="26"/>
          <w:lang w:val="vi-VN"/>
        </w:rPr>
      </w:pPr>
      <w:bookmarkStart w:id="135" w:name="_Toc210568889"/>
      <w:bookmarkStart w:id="136" w:name="_Toc210724261"/>
      <w:bookmarkStart w:id="137" w:name="_Toc229148382"/>
      <w:r w:rsidRPr="00050474">
        <w:rPr>
          <w:rStyle w:val="Heading3Char"/>
          <w:rFonts w:eastAsiaTheme="majorEastAsia" w:cs="Times New Roman"/>
          <w:b/>
          <w:bCs/>
          <w:color w:val="000000" w:themeColor="text1"/>
          <w:szCs w:val="26"/>
          <w:lang w:val="vi-VN"/>
        </w:rPr>
        <w:t>CHƯƠNG 3</w:t>
      </w:r>
      <w:bookmarkEnd w:id="135"/>
      <w:bookmarkEnd w:id="136"/>
      <w:bookmarkEnd w:id="137"/>
      <w:r w:rsidRPr="00050474">
        <w:rPr>
          <w:rStyle w:val="Heading3Char"/>
          <w:rFonts w:eastAsiaTheme="majorEastAsia" w:cs="Times New Roman"/>
          <w:b/>
          <w:bCs/>
          <w:color w:val="000000" w:themeColor="text1"/>
          <w:szCs w:val="26"/>
        </w:rPr>
        <w:t>:</w:t>
      </w:r>
      <w:bookmarkStart w:id="138" w:name="_Toc229148383"/>
      <w:bookmarkStart w:id="139" w:name="_Toc210568890"/>
      <w:bookmarkStart w:id="140" w:name="_Toc210724262"/>
      <w:r w:rsidRPr="00050474">
        <w:rPr>
          <w:rStyle w:val="Heading3Char"/>
          <w:rFonts w:eastAsiaTheme="majorEastAsia" w:cs="Times New Roman"/>
          <w:b/>
          <w:bCs/>
          <w:color w:val="000000" w:themeColor="text1"/>
          <w:szCs w:val="26"/>
        </w:rPr>
        <w:t xml:space="preserve"> </w:t>
      </w:r>
      <w:r w:rsidRPr="00050474">
        <w:rPr>
          <w:rStyle w:val="Heading3Char"/>
          <w:rFonts w:eastAsiaTheme="majorEastAsia" w:cs="Times New Roman"/>
          <w:b/>
          <w:color w:val="000000" w:themeColor="text1"/>
          <w:szCs w:val="26"/>
          <w:lang w:val="vi-VN"/>
        </w:rPr>
        <w:t xml:space="preserve">HOÀN THIỆN TỔ CHỨC CÔNG TÁC KẾ TOÁN TẠI CÁC </w:t>
      </w:r>
      <w:r w:rsidRPr="00050474">
        <w:rPr>
          <w:rStyle w:val="Heading3Char"/>
          <w:rFonts w:eastAsiaTheme="majorEastAsia" w:cs="Times New Roman"/>
          <w:b/>
          <w:color w:val="000000" w:themeColor="text1"/>
          <w:szCs w:val="26"/>
        </w:rPr>
        <w:t>BỆNH VIỆN</w:t>
      </w:r>
      <w:r w:rsidRPr="00050474">
        <w:rPr>
          <w:rStyle w:val="Heading3Char"/>
          <w:rFonts w:eastAsiaTheme="majorEastAsia" w:cs="Times New Roman"/>
          <w:b/>
          <w:color w:val="000000" w:themeColor="text1"/>
          <w:szCs w:val="26"/>
          <w:lang w:val="vi-VN"/>
        </w:rPr>
        <w:t xml:space="preserve"> CÔNG LẬP KHU VỰC</w:t>
      </w:r>
      <w:r w:rsidRPr="00050474">
        <w:rPr>
          <w:rStyle w:val="Heading3Char"/>
          <w:rFonts w:eastAsiaTheme="majorEastAsia" w:cs="Times New Roman"/>
          <w:i/>
          <w:color w:val="000000" w:themeColor="text1"/>
          <w:szCs w:val="26"/>
          <w:lang w:val="vi-VN"/>
        </w:rPr>
        <w:t xml:space="preserve"> </w:t>
      </w:r>
      <w:r w:rsidRPr="00050474">
        <w:rPr>
          <w:rStyle w:val="Heading1Char"/>
          <w:b/>
          <w:color w:val="000000" w:themeColor="text1"/>
          <w:sz w:val="26"/>
          <w:szCs w:val="26"/>
        </w:rPr>
        <w:t>ĐỒNG BẰNG SÔNG CỬU LONG</w:t>
      </w:r>
      <w:bookmarkEnd w:id="138"/>
      <w:bookmarkEnd w:id="139"/>
      <w:bookmarkEnd w:id="140"/>
    </w:p>
    <w:p w14:paraId="15EA358C" w14:textId="77777777" w:rsidR="00342633" w:rsidRPr="00050474" w:rsidRDefault="0051710A">
      <w:pPr>
        <w:pStyle w:val="Heading1"/>
        <w:spacing w:before="0" w:after="0" w:line="360" w:lineRule="auto"/>
        <w:rPr>
          <w:color w:val="000000" w:themeColor="text1"/>
          <w:sz w:val="26"/>
          <w:szCs w:val="26"/>
        </w:rPr>
      </w:pPr>
      <w:bookmarkStart w:id="141" w:name="_Toc229148384"/>
      <w:r w:rsidRPr="00050474">
        <w:rPr>
          <w:color w:val="000000" w:themeColor="text1"/>
          <w:sz w:val="26"/>
          <w:szCs w:val="26"/>
        </w:rPr>
        <w:t>3.1. Định hướng phát triển các bệnh viện công lập khu vực ĐBSCL</w:t>
      </w:r>
      <w:bookmarkEnd w:id="141"/>
    </w:p>
    <w:p w14:paraId="55150A29" w14:textId="77777777" w:rsidR="00342633" w:rsidRPr="00050474" w:rsidRDefault="0051710A">
      <w:pPr>
        <w:spacing w:line="360" w:lineRule="auto"/>
        <w:ind w:firstLine="720"/>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Trong bối cảnh sắp xếp lại các đơn vị hành chính cấp tỉnh có hiệu lực từ ngày 01/7/2025, định hướng phát triển hệ thống y tế khu vực ĐBSCL càng được chú trọng theo hướng tập trung, chuyên sâu và hiện đại hóa. Các định hướng này không chỉ là mục tiêu của ngành y tế mà còn là mệnh lệnh, đặt ra yêu cầu tái cấu trúc sâu sắc công tác kế toán tại các bệnh viện công lập.</w:t>
      </w:r>
    </w:p>
    <w:p w14:paraId="2333999E" w14:textId="77777777" w:rsidR="00342633" w:rsidRPr="00050474" w:rsidRDefault="0051710A">
      <w:pPr>
        <w:pStyle w:val="Heading1"/>
        <w:spacing w:before="0" w:after="0" w:line="360" w:lineRule="auto"/>
        <w:rPr>
          <w:color w:val="000000" w:themeColor="text1"/>
          <w:sz w:val="26"/>
          <w:szCs w:val="26"/>
        </w:rPr>
      </w:pPr>
      <w:bookmarkStart w:id="142" w:name="_Toc229148388"/>
      <w:r w:rsidRPr="00050474">
        <w:rPr>
          <w:color w:val="000000" w:themeColor="text1"/>
          <w:sz w:val="26"/>
          <w:szCs w:val="26"/>
        </w:rPr>
        <w:lastRenderedPageBreak/>
        <w:t>3.2. Yêu cầu và nguyên tắc hoàn thiện tổ chức công tác kế toán</w:t>
      </w:r>
      <w:bookmarkEnd w:id="142"/>
    </w:p>
    <w:p w14:paraId="0D990A42" w14:textId="26D16B26" w:rsidR="00342633" w:rsidRPr="00050474" w:rsidRDefault="0051710A">
      <w:pPr>
        <w:spacing w:line="360" w:lineRule="auto"/>
        <w:ind w:firstLine="567"/>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rPr>
        <w:t>Từ những định hướng phát triển, việc hoàn thiện tổ chức công tác kế toán tại các bệnh viện công lập khu vực ĐBSCL phải được xem là một nhiệm vụ chiến lược, tuân thủ các yêu cầu và nguyên tắ</w:t>
      </w:r>
      <w:r w:rsidR="00136409" w:rsidRPr="00050474">
        <w:rPr>
          <w:rFonts w:ascii="Times New Roman" w:hAnsi="Times New Roman" w:cs="Times New Roman"/>
          <w:color w:val="000000" w:themeColor="text1"/>
          <w:szCs w:val="26"/>
        </w:rPr>
        <w:t>c</w:t>
      </w:r>
      <w:r w:rsidRPr="00050474">
        <w:rPr>
          <w:rFonts w:ascii="Times New Roman" w:hAnsi="Times New Roman" w:cs="Times New Roman"/>
          <w:color w:val="000000" w:themeColor="text1"/>
          <w:szCs w:val="26"/>
        </w:rPr>
        <w:t xml:space="preserve"> chặt chẽ.</w:t>
      </w:r>
    </w:p>
    <w:p w14:paraId="63BF0C13" w14:textId="7A96CC5A" w:rsidR="00136409" w:rsidRPr="00050474" w:rsidRDefault="00136409">
      <w:pPr>
        <w:pStyle w:val="Heading1"/>
        <w:spacing w:before="0" w:after="0" w:line="360" w:lineRule="auto"/>
        <w:rPr>
          <w:color w:val="000000" w:themeColor="text1"/>
          <w:sz w:val="26"/>
          <w:szCs w:val="26"/>
        </w:rPr>
      </w:pPr>
      <w:bookmarkStart w:id="143" w:name="_Toc229148391"/>
      <w:r w:rsidRPr="00050474">
        <w:rPr>
          <w:color w:val="000000" w:themeColor="text1"/>
          <w:sz w:val="26"/>
          <w:szCs w:val="26"/>
        </w:rPr>
        <w:t>3.3. Cơ sở đề xuất và quan điểm xây dựng giải pháp</w:t>
      </w:r>
    </w:p>
    <w:p w14:paraId="432B40DF" w14:textId="666D3243" w:rsidR="00342633" w:rsidRPr="00050474" w:rsidRDefault="0051710A" w:rsidP="00D36138">
      <w:pPr>
        <w:pStyle w:val="Heading1"/>
        <w:spacing w:before="0" w:after="0" w:line="360" w:lineRule="auto"/>
        <w:jc w:val="both"/>
        <w:rPr>
          <w:i/>
          <w:iCs/>
          <w:color w:val="000000" w:themeColor="text1"/>
          <w:sz w:val="26"/>
          <w:szCs w:val="26"/>
        </w:rPr>
      </w:pPr>
      <w:r w:rsidRPr="00050474">
        <w:rPr>
          <w:color w:val="000000" w:themeColor="text1"/>
          <w:sz w:val="26"/>
          <w:szCs w:val="26"/>
        </w:rPr>
        <w:t>3.</w:t>
      </w:r>
      <w:r w:rsidR="00136409" w:rsidRPr="00050474">
        <w:rPr>
          <w:color w:val="000000" w:themeColor="text1"/>
          <w:sz w:val="26"/>
          <w:szCs w:val="26"/>
        </w:rPr>
        <w:t>4.</w:t>
      </w:r>
      <w:r w:rsidRPr="00050474">
        <w:rPr>
          <w:color w:val="000000" w:themeColor="text1"/>
          <w:sz w:val="26"/>
          <w:szCs w:val="26"/>
        </w:rPr>
        <w:t xml:space="preserve"> Hoàn thiện tổ chức công tác kế toán tại các bệnh viện công lập khu vực</w:t>
      </w:r>
      <w:r w:rsidR="00136409" w:rsidRPr="00050474">
        <w:rPr>
          <w:color w:val="000000" w:themeColor="text1"/>
          <w:sz w:val="26"/>
          <w:szCs w:val="26"/>
        </w:rPr>
        <w:t xml:space="preserve"> </w:t>
      </w:r>
      <w:r w:rsidRPr="00050474">
        <w:rPr>
          <w:color w:val="000000" w:themeColor="text1"/>
          <w:sz w:val="26"/>
          <w:szCs w:val="26"/>
        </w:rPr>
        <w:t>ĐBSCL</w:t>
      </w:r>
      <w:bookmarkEnd w:id="143"/>
    </w:p>
    <w:p w14:paraId="0FB4C99D" w14:textId="7DCE6CE1" w:rsidR="00CE38AA" w:rsidRPr="00050474" w:rsidRDefault="00CE38AA" w:rsidP="00CB0922">
      <w:pPr>
        <w:spacing w:line="360" w:lineRule="auto"/>
        <w:ind w:firstLine="567"/>
        <w:jc w:val="both"/>
        <w:rPr>
          <w:rFonts w:ascii="Times New Roman" w:hAnsi="Times New Roman" w:cs="Times New Roman"/>
          <w:i/>
          <w:iCs/>
          <w:color w:val="000000" w:themeColor="text1"/>
          <w:szCs w:val="26"/>
          <w:lang w:val="vi-VN"/>
        </w:rPr>
      </w:pPr>
      <w:bookmarkStart w:id="144" w:name="_Toc229148403"/>
      <w:r w:rsidRPr="00050474">
        <w:rPr>
          <w:rFonts w:ascii="Times New Roman" w:hAnsi="Times New Roman" w:cs="Times New Roman"/>
          <w:i/>
          <w:iCs/>
          <w:color w:val="000000" w:themeColor="text1"/>
          <w:szCs w:val="26"/>
          <w:lang w:val="vi-VN"/>
        </w:rPr>
        <w:t xml:space="preserve">3.4.1 </w:t>
      </w:r>
      <w:r w:rsidR="0051710A" w:rsidRPr="00050474">
        <w:rPr>
          <w:rFonts w:ascii="Times New Roman" w:hAnsi="Times New Roman" w:cs="Times New Roman"/>
          <w:i/>
          <w:iCs/>
          <w:color w:val="000000" w:themeColor="text1"/>
          <w:szCs w:val="26"/>
          <w:lang w:val="vi-VN"/>
        </w:rPr>
        <w:t>Hoàn thiện tổ chức bộ máy kế toán</w:t>
      </w:r>
    </w:p>
    <w:p w14:paraId="6D647C02" w14:textId="168DB4D0" w:rsidR="00342633" w:rsidRPr="00050474" w:rsidRDefault="00CE38AA" w:rsidP="00CB0922">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Các bệnh viện công lập ĐBSCL cần tái cấu trúc bộ máy kế toán theo hướng chuyên môn hóa, phân định rõ trách nhiệm giữa các phần hành kế toán và tăng cường cơ chế kiểm soát chéo. Đồng thời, áp dụng mô hình phân cấp trách nhiệm giữa đơn vị ghi nhận và đơn vị báo cáo, nâng cao chất lượng tuyển dụng, đào tạo và bồi dưỡng chuyên môn kế toán công. </w:t>
      </w:r>
      <w:r w:rsidR="0051710A" w:rsidRPr="00050474">
        <w:rPr>
          <w:rFonts w:ascii="Times New Roman" w:hAnsi="Times New Roman" w:cs="Times New Roman"/>
          <w:color w:val="000000" w:themeColor="text1"/>
          <w:szCs w:val="26"/>
          <w:lang w:val="vi-VN"/>
        </w:rPr>
        <w:t xml:space="preserve"> </w:t>
      </w:r>
    </w:p>
    <w:p w14:paraId="42F64021" w14:textId="501363B6" w:rsidR="00342633" w:rsidRPr="00050474" w:rsidRDefault="00CB0922" w:rsidP="00CB0922">
      <w:pPr>
        <w:spacing w:line="360" w:lineRule="auto"/>
        <w:ind w:firstLine="567"/>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 xml:space="preserve">3.4.2 </w:t>
      </w:r>
      <w:r w:rsidR="00136409" w:rsidRPr="00050474">
        <w:rPr>
          <w:rFonts w:ascii="Times New Roman" w:hAnsi="Times New Roman" w:cs="Times New Roman"/>
          <w:i/>
          <w:iCs/>
          <w:color w:val="000000" w:themeColor="text1"/>
          <w:szCs w:val="26"/>
          <w:lang w:val="vi-VN"/>
        </w:rPr>
        <w:t>Hoàn thiện tổ chức thu nhận thông tin kế toán</w:t>
      </w:r>
      <w:r w:rsidR="0051710A" w:rsidRPr="00050474">
        <w:rPr>
          <w:rFonts w:ascii="Times New Roman" w:hAnsi="Times New Roman" w:cs="Times New Roman"/>
          <w:i/>
          <w:iCs/>
          <w:color w:val="000000" w:themeColor="text1"/>
          <w:szCs w:val="26"/>
          <w:lang w:val="vi-VN"/>
        </w:rPr>
        <w:t xml:space="preserve"> </w:t>
      </w:r>
    </w:p>
    <w:p w14:paraId="359D48C5" w14:textId="7A6509C3" w:rsidR="00CE38AA" w:rsidRPr="00050474" w:rsidRDefault="00CE38AA" w:rsidP="00CB0922">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Các bệnh viện công lập ĐBSCL cần xây dựng </w:t>
      </w:r>
      <w:r w:rsidR="00CB0922" w:rsidRPr="00050474">
        <w:rPr>
          <w:rFonts w:ascii="Times New Roman" w:hAnsi="Times New Roman" w:cs="Times New Roman"/>
          <w:color w:val="000000" w:themeColor="text1"/>
          <w:szCs w:val="26"/>
        </w:rPr>
        <w:t xml:space="preserve">quy trình bộ </w:t>
      </w:r>
      <w:r w:rsidRPr="00050474">
        <w:rPr>
          <w:rFonts w:ascii="Times New Roman" w:hAnsi="Times New Roman" w:cs="Times New Roman"/>
          <w:color w:val="000000" w:themeColor="text1"/>
          <w:szCs w:val="26"/>
          <w:lang w:val="vi-VN"/>
        </w:rPr>
        <w:t xml:space="preserve">dữ liệu tích hợp giữa phần mềm kế toán và các hệ thống quản lý chuyên môn (HIS, LIS, RIS, PACS) nhằm tự động hóa việc thu nhận dữ liệu. Chứng từ điện tử, kết nối dữ liệu với cơ quan bảo hiểm xã hội và cơ chế đối soát tự động sẽ góp phần giảm sai sót, nâng cao tính kịp thời và độ tin cậy của thông tin kế toán. </w:t>
      </w:r>
    </w:p>
    <w:p w14:paraId="7C06FEF0" w14:textId="593BF69B" w:rsidR="00342633" w:rsidRPr="00050474" w:rsidRDefault="00CB0922" w:rsidP="00CB0922">
      <w:pPr>
        <w:spacing w:line="360" w:lineRule="auto"/>
        <w:ind w:firstLine="567"/>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 xml:space="preserve">3.4.3 </w:t>
      </w:r>
      <w:r w:rsidR="00136409" w:rsidRPr="00050474">
        <w:rPr>
          <w:rFonts w:ascii="Times New Roman" w:hAnsi="Times New Roman" w:cs="Times New Roman"/>
          <w:i/>
          <w:iCs/>
          <w:color w:val="000000" w:themeColor="text1"/>
          <w:szCs w:val="26"/>
          <w:lang w:val="vi-VN"/>
        </w:rPr>
        <w:t>Hoàn thiện tổ chức kiểm tra và lưu trữ thông tin kế toán</w:t>
      </w:r>
      <w:r w:rsidR="0051710A" w:rsidRPr="00050474">
        <w:rPr>
          <w:rFonts w:ascii="Times New Roman" w:hAnsi="Times New Roman" w:cs="Times New Roman"/>
          <w:i/>
          <w:iCs/>
          <w:color w:val="000000" w:themeColor="text1"/>
          <w:szCs w:val="26"/>
          <w:lang w:val="vi-VN"/>
        </w:rPr>
        <w:t xml:space="preserve"> </w:t>
      </w:r>
    </w:p>
    <w:p w14:paraId="2FDEC8B4" w14:textId="11346EC3" w:rsidR="00CE38AA" w:rsidRPr="00050474" w:rsidRDefault="00CE38AA" w:rsidP="00CB0922">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Bệnh viện công lập ĐBSCL cần xây dựng hệ thống kiểm soát nội bộ gồm tự kiểm tra tại khoa phòng, kiểm soát độc lập tại phòng kế toán và phê duyệt cuối cùng của kế toán trưởng. Đối với các đơn vị quy mô lớn, nên thành lập bộ phận kiểm soát nội bộ độc lập. Song song đó, cần đẩy mạnh lưu trữ điện tử, ứng dụng công nghệ số để bảo đảm an toàn dữ liệu, tăng khả năng truy xuất thông tin, nâng cao tính minh bạch và trách nhiệm giải trình trong quản lý tài chính công. </w:t>
      </w:r>
    </w:p>
    <w:p w14:paraId="336F2BEF" w14:textId="52FEA36E" w:rsidR="00342633" w:rsidRPr="00050474" w:rsidRDefault="00CB0922" w:rsidP="00CB0922">
      <w:pPr>
        <w:spacing w:line="360" w:lineRule="auto"/>
        <w:ind w:firstLine="567"/>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 xml:space="preserve">3.4.4 </w:t>
      </w:r>
      <w:r w:rsidR="00136409" w:rsidRPr="00050474">
        <w:rPr>
          <w:rFonts w:ascii="Times New Roman" w:hAnsi="Times New Roman" w:cs="Times New Roman"/>
          <w:i/>
          <w:iCs/>
          <w:color w:val="000000" w:themeColor="text1"/>
          <w:szCs w:val="26"/>
          <w:lang w:val="vi-VN"/>
        </w:rPr>
        <w:t>Hoàn thiện tổ chức xử lý và hệ thống hóa thông tin kế toán</w:t>
      </w:r>
      <w:r w:rsidR="0051710A" w:rsidRPr="00050474">
        <w:rPr>
          <w:rFonts w:ascii="Times New Roman" w:hAnsi="Times New Roman" w:cs="Times New Roman"/>
          <w:i/>
          <w:iCs/>
          <w:color w:val="000000" w:themeColor="text1"/>
          <w:szCs w:val="26"/>
          <w:lang w:val="vi-VN"/>
        </w:rPr>
        <w:t xml:space="preserve"> </w:t>
      </w:r>
    </w:p>
    <w:p w14:paraId="3F5A5C58" w14:textId="32E83CF2" w:rsidR="00CE38AA" w:rsidRPr="00050474" w:rsidRDefault="00CE38AA" w:rsidP="00CB0922">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Các bệnh viện công lập ĐBSCL cần triển khai mô hình kế toán kép trên cơ sở kép, kết hợp kế toán tài chính theo cơ sở dồn tích và kế toán ngân sách theo cơ sở tiền mặt. Đồng thời, xây dựng hệ thống kế toán quản trị, hoàn thiện quy trình tập hợp và phân bổ chi phí đến từng dịch vụ y tế nhằm phục vụ tính giá và quản trị chi phí. Việc cụ thể hóa các quy định pháp lý và chuẩn mực kế toán công vào quy chế nội bộ sẽ góp phần nâng cao hiệu quả xử lý và hệ thống hóa thông tin kế toán.</w:t>
      </w:r>
    </w:p>
    <w:p w14:paraId="3C09F39B" w14:textId="0D196162" w:rsidR="00342633" w:rsidRPr="00050474" w:rsidRDefault="00CB0922" w:rsidP="00CB0922">
      <w:pPr>
        <w:spacing w:line="360" w:lineRule="auto"/>
        <w:ind w:firstLine="567"/>
        <w:jc w:val="both"/>
        <w:rPr>
          <w:rFonts w:ascii="Times New Roman" w:hAnsi="Times New Roman" w:cs="Times New Roman"/>
          <w:i/>
          <w:iCs/>
          <w:color w:val="000000" w:themeColor="text1"/>
          <w:szCs w:val="26"/>
          <w:lang w:val="vi-VN"/>
        </w:rPr>
      </w:pPr>
      <w:r w:rsidRPr="00050474">
        <w:rPr>
          <w:rFonts w:ascii="Times New Roman" w:hAnsi="Times New Roman" w:cs="Times New Roman"/>
          <w:i/>
          <w:iCs/>
          <w:color w:val="000000" w:themeColor="text1"/>
          <w:szCs w:val="26"/>
          <w:lang w:val="vi-VN"/>
        </w:rPr>
        <w:t>3.4.</w:t>
      </w:r>
      <w:r w:rsidRPr="00050474">
        <w:rPr>
          <w:rFonts w:ascii="Times New Roman" w:hAnsi="Times New Roman" w:cs="Times New Roman"/>
          <w:i/>
          <w:iCs/>
          <w:color w:val="000000" w:themeColor="text1"/>
          <w:szCs w:val="26"/>
        </w:rPr>
        <w:t xml:space="preserve">5 </w:t>
      </w:r>
      <w:r w:rsidR="00136409" w:rsidRPr="00050474">
        <w:rPr>
          <w:rFonts w:ascii="Times New Roman" w:hAnsi="Times New Roman" w:cs="Times New Roman"/>
          <w:i/>
          <w:iCs/>
          <w:color w:val="000000" w:themeColor="text1"/>
          <w:szCs w:val="26"/>
          <w:lang w:val="vi-VN"/>
        </w:rPr>
        <w:t>Hoàn thiện tổ chức cung cấp và phân tích thông tin kế toán</w:t>
      </w:r>
    </w:p>
    <w:p w14:paraId="03359020" w14:textId="53B9B626" w:rsidR="00CE38AA" w:rsidRPr="00050474" w:rsidRDefault="00CE38AA" w:rsidP="00CB0922">
      <w:pPr>
        <w:spacing w:line="360" w:lineRule="auto"/>
        <w:ind w:firstLine="567"/>
        <w:jc w:val="both"/>
        <w:rPr>
          <w:rFonts w:ascii="Times New Roman" w:hAnsi="Times New Roman" w:cs="Times New Roman"/>
          <w:color w:val="000000" w:themeColor="text1"/>
          <w:szCs w:val="26"/>
        </w:rPr>
      </w:pPr>
      <w:r w:rsidRPr="00050474">
        <w:rPr>
          <w:rFonts w:ascii="Times New Roman" w:hAnsi="Times New Roman" w:cs="Times New Roman"/>
          <w:color w:val="000000" w:themeColor="text1"/>
          <w:szCs w:val="26"/>
          <w:lang w:val="vi-VN"/>
        </w:rPr>
        <w:lastRenderedPageBreak/>
        <w:t xml:space="preserve">Các bệnh viện </w:t>
      </w:r>
      <w:r w:rsidR="00CB0922" w:rsidRPr="00050474">
        <w:rPr>
          <w:rFonts w:ascii="Times New Roman" w:hAnsi="Times New Roman" w:cs="Times New Roman"/>
          <w:color w:val="000000" w:themeColor="text1"/>
          <w:szCs w:val="26"/>
          <w:lang w:val="vi-VN"/>
        </w:rPr>
        <w:t>công lập ĐBSCL</w:t>
      </w:r>
      <w:r w:rsidR="00CB0922" w:rsidRPr="00050474">
        <w:rPr>
          <w:rFonts w:ascii="Times New Roman" w:hAnsi="Times New Roman" w:cs="Times New Roman"/>
          <w:color w:val="000000" w:themeColor="text1"/>
          <w:szCs w:val="26"/>
        </w:rPr>
        <w:t xml:space="preserve"> </w:t>
      </w:r>
      <w:r w:rsidRPr="00050474">
        <w:rPr>
          <w:rFonts w:ascii="Times New Roman" w:hAnsi="Times New Roman" w:cs="Times New Roman"/>
          <w:color w:val="000000" w:themeColor="text1"/>
          <w:szCs w:val="26"/>
          <w:lang w:val="vi-VN"/>
        </w:rPr>
        <w:t>cần nâng cao chất lượng công bố thông tin tài chính, hoàn thiện hệ thống báo cáo và thuyết minh báo cáo tài chính theo hướng minh bạch, dễ khai thác. Thông tin kế toán cần được phân tích đa chiều để hỗ trợ nhà quản lý ra quyết định hiệu quả, đồng thời tăng cường công khai, minh bạch và trách nhiệm giải trình.</w:t>
      </w:r>
    </w:p>
    <w:p w14:paraId="64D36317" w14:textId="4C3ECB1C" w:rsidR="00342633" w:rsidRPr="00050474" w:rsidRDefault="0051710A">
      <w:pPr>
        <w:pStyle w:val="Heading1"/>
        <w:spacing w:before="0" w:after="0" w:line="360" w:lineRule="auto"/>
        <w:rPr>
          <w:color w:val="000000" w:themeColor="text1"/>
          <w:sz w:val="26"/>
          <w:szCs w:val="26"/>
          <w:lang w:val="vi-VN"/>
        </w:rPr>
      </w:pPr>
      <w:r w:rsidRPr="00050474">
        <w:rPr>
          <w:rStyle w:val="Heading1Char"/>
          <w:b/>
          <w:color w:val="000000" w:themeColor="text1"/>
          <w:sz w:val="26"/>
          <w:szCs w:val="26"/>
          <w:lang w:val="vi-VN"/>
        </w:rPr>
        <w:t>3.</w:t>
      </w:r>
      <w:r w:rsidR="00D36138" w:rsidRPr="00050474">
        <w:rPr>
          <w:rStyle w:val="Heading1Char"/>
          <w:b/>
          <w:color w:val="000000" w:themeColor="text1"/>
          <w:sz w:val="26"/>
          <w:szCs w:val="26"/>
        </w:rPr>
        <w:t>5</w:t>
      </w:r>
      <w:r w:rsidRPr="00050474">
        <w:rPr>
          <w:rStyle w:val="Heading1Char"/>
          <w:b/>
          <w:color w:val="000000" w:themeColor="text1"/>
          <w:sz w:val="26"/>
          <w:szCs w:val="26"/>
          <w:lang w:val="vi-VN"/>
        </w:rPr>
        <w:t xml:space="preserve"> Kiến nghị chính sách</w:t>
      </w:r>
      <w:bookmarkEnd w:id="144"/>
    </w:p>
    <w:p w14:paraId="1C8D44C5" w14:textId="791B2E9D" w:rsidR="00342633" w:rsidRPr="00050474" w:rsidRDefault="0051710A">
      <w:pPr>
        <w:spacing w:line="360" w:lineRule="auto"/>
        <w:ind w:firstLine="567"/>
        <w:jc w:val="both"/>
        <w:rPr>
          <w:rFonts w:ascii="Times New Roman" w:hAnsi="Times New Roman" w:cs="Times New Roman"/>
          <w:color w:val="000000" w:themeColor="text1"/>
          <w:szCs w:val="26"/>
          <w:lang w:val="vi-VN"/>
        </w:rPr>
      </w:pPr>
      <w:r w:rsidRPr="00050474">
        <w:rPr>
          <w:rFonts w:ascii="Times New Roman" w:hAnsi="Times New Roman" w:cs="Times New Roman"/>
          <w:color w:val="000000" w:themeColor="text1"/>
          <w:szCs w:val="26"/>
          <w:lang w:val="vi-VN"/>
        </w:rPr>
        <w:t xml:space="preserve">Trên cơ sở kết quả nghiên cứu thực </w:t>
      </w:r>
      <w:r w:rsidR="00D36138" w:rsidRPr="00050474">
        <w:rPr>
          <w:rFonts w:ascii="Times New Roman" w:hAnsi="Times New Roman" w:cs="Times New Roman"/>
          <w:color w:val="000000" w:themeColor="text1"/>
          <w:szCs w:val="26"/>
        </w:rPr>
        <w:t>trạng</w:t>
      </w:r>
      <w:r w:rsidRPr="00050474">
        <w:rPr>
          <w:rFonts w:ascii="Times New Roman" w:hAnsi="Times New Roman" w:cs="Times New Roman"/>
          <w:color w:val="000000" w:themeColor="text1"/>
          <w:szCs w:val="26"/>
          <w:lang w:val="vi-VN"/>
        </w:rPr>
        <w:t xml:space="preserve"> và phân tích định lượng, luận án đề xuất một số kiến nghị chính sách nhằm nâng cao tổ chức công tác kế toán trong các bệnh viện công lập, đặc biệt trong bối cảnh thực hiện </w:t>
      </w:r>
      <w:r w:rsidR="002420DF" w:rsidRPr="00050474">
        <w:rPr>
          <w:rFonts w:ascii="Times New Roman" w:hAnsi="Times New Roman" w:cs="Times New Roman"/>
          <w:noProof/>
          <w:color w:val="000000" w:themeColor="text1"/>
          <w:szCs w:val="26"/>
          <w:lang w:val="vi-VN"/>
        </w:rPr>
        <w:t>Thông tư số 24/2024/TT-BTC</w:t>
      </w:r>
      <w:r w:rsidR="002420DF" w:rsidRPr="00050474">
        <w:rPr>
          <w:rFonts w:ascii="Times New Roman" w:hAnsi="Times New Roman" w:cs="Times New Roman"/>
          <w:color w:val="000000" w:themeColor="text1"/>
          <w:szCs w:val="26"/>
          <w:lang w:val="vi-VN"/>
        </w:rPr>
        <w:t xml:space="preserve"> về chế độ kế toán hành chính, sự nghiệp</w:t>
      </w:r>
      <w:r w:rsidRPr="00050474">
        <w:rPr>
          <w:rFonts w:ascii="Times New Roman" w:hAnsi="Times New Roman" w:cs="Times New Roman"/>
          <w:color w:val="000000" w:themeColor="text1"/>
          <w:szCs w:val="26"/>
          <w:lang w:val="vi-VN"/>
        </w:rPr>
        <w:t xml:space="preserve"> và tiến trình hiện đại hóa quản lý tài chính công.</w:t>
      </w:r>
    </w:p>
    <w:p w14:paraId="7294041E" w14:textId="1AF6D722" w:rsidR="00342633" w:rsidRPr="00050474" w:rsidRDefault="0051710A">
      <w:pPr>
        <w:pStyle w:val="Heading2"/>
        <w:spacing w:before="0" w:after="0" w:line="360" w:lineRule="auto"/>
        <w:rPr>
          <w:rStyle w:val="Heading1Char"/>
          <w:b/>
          <w:color w:val="000000" w:themeColor="text1"/>
          <w:sz w:val="26"/>
          <w:szCs w:val="26"/>
          <w:lang w:val="vi-VN"/>
        </w:rPr>
      </w:pPr>
      <w:bookmarkStart w:id="145" w:name="_Toc229148404"/>
      <w:r w:rsidRPr="00050474">
        <w:rPr>
          <w:rStyle w:val="Heading1Char"/>
          <w:b/>
          <w:color w:val="000000" w:themeColor="text1"/>
          <w:sz w:val="26"/>
          <w:szCs w:val="26"/>
          <w:lang w:val="vi-VN"/>
        </w:rPr>
        <w:t>3.</w:t>
      </w:r>
      <w:r w:rsidR="00D36138" w:rsidRPr="00050474">
        <w:rPr>
          <w:rStyle w:val="Heading1Char"/>
          <w:b/>
          <w:color w:val="000000" w:themeColor="text1"/>
          <w:sz w:val="26"/>
          <w:szCs w:val="26"/>
        </w:rPr>
        <w:t>5</w:t>
      </w:r>
      <w:r w:rsidRPr="00050474">
        <w:rPr>
          <w:rStyle w:val="Heading1Char"/>
          <w:b/>
          <w:color w:val="000000" w:themeColor="text1"/>
          <w:sz w:val="26"/>
          <w:szCs w:val="26"/>
          <w:lang w:val="vi-VN"/>
        </w:rPr>
        <w:t>.</w:t>
      </w:r>
      <w:r w:rsidRPr="00050474">
        <w:rPr>
          <w:rStyle w:val="Heading1Char"/>
          <w:b/>
          <w:color w:val="000000" w:themeColor="text1"/>
          <w:sz w:val="26"/>
          <w:szCs w:val="26"/>
        </w:rPr>
        <w:t>1</w:t>
      </w:r>
      <w:r w:rsidRPr="00050474">
        <w:rPr>
          <w:rStyle w:val="Heading1Char"/>
          <w:b/>
          <w:color w:val="000000" w:themeColor="text1"/>
          <w:sz w:val="26"/>
          <w:szCs w:val="26"/>
          <w:lang w:val="vi-VN"/>
        </w:rPr>
        <w:t xml:space="preserve"> Đối với cơ </w:t>
      </w:r>
      <w:r w:rsidRPr="00050474">
        <w:rPr>
          <w:rStyle w:val="Heading1Char"/>
          <w:b/>
          <w:color w:val="000000" w:themeColor="text1"/>
          <w:sz w:val="26"/>
          <w:szCs w:val="26"/>
        </w:rPr>
        <w:t>quan</w:t>
      </w:r>
      <w:r w:rsidRPr="00050474">
        <w:rPr>
          <w:rStyle w:val="Heading1Char"/>
          <w:b/>
          <w:color w:val="000000" w:themeColor="text1"/>
          <w:sz w:val="26"/>
          <w:szCs w:val="26"/>
          <w:lang w:val="vi-VN"/>
        </w:rPr>
        <w:t xml:space="preserve"> quản lý ngành y tế</w:t>
      </w:r>
      <w:bookmarkEnd w:id="145"/>
    </w:p>
    <w:p w14:paraId="20D8AF14" w14:textId="77777777" w:rsidR="00017334" w:rsidRPr="00050474" w:rsidRDefault="00017334" w:rsidP="00017334">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lang w:val="vi-VN"/>
        </w:rPr>
        <w:t>Bộ Y tế cần chủ trì, phối hợp với Bộ Tài chính ban hành khung hướng dẫn thống nhất về kế toán quản trị trong các cơ sở khám chữa bệnh công lập. Đồng thời, các cơ quan quản lý cần cập nhật văn bản hướng dẫn chi tiết, đồng bộ để triển khai hiệu quả theo Thông tư số 24/2024/TT-BTC. Nội dung trọng tâm hướng dẫn cần tập trung vào các nghiệp vụ phức tạp như: ghi nhận doanh thu - chi phí theo cơ chế giá dịch vụ mới, hạch toán và trích khấu hao/hao mòn tài sản cố định, phân loại nguồn kinh phí tự chủ và không tự chủ, cùng quy trình công khai tài chính nhằm đảm bảo tính nhất quán trên toàn hệ thống.</w:t>
      </w:r>
    </w:p>
    <w:p w14:paraId="777CF8D6" w14:textId="77777777" w:rsidR="009C35A6" w:rsidRPr="00050474" w:rsidRDefault="00017334" w:rsidP="00017334">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lang w:val="vi-VN"/>
        </w:rPr>
        <w:t xml:space="preserve">Cần xây dựng lộ trình chuẩn hóa cấu trúc dữ liệu đầu vào, hướng tới tích hợp liên thông trực tiếp giữa các hệ thống quản lý chuyên môn y tế (HIS, LIS, RIS, PACS) với phần mềm kế toán đơn vị, cổng giám định BHYT và Hệ thống Thông tin Quản lý Ngân sách và Kho bạc (TABMIS). Giải pháp này giúp tự động hóa quy trình xử lý dữ liệu tài chính, giảm thiểu sai sót thủ công và nâng cao năng lực giám sát dòng tiền theo thời gian thực. </w:t>
      </w:r>
    </w:p>
    <w:p w14:paraId="0AA7E5A2" w14:textId="6E9F7CA0" w:rsidR="00017334" w:rsidRPr="00050474" w:rsidRDefault="00017334" w:rsidP="009462CF">
      <w:pPr>
        <w:spacing w:line="360" w:lineRule="auto"/>
        <w:ind w:firstLine="567"/>
        <w:jc w:val="both"/>
        <w:rPr>
          <w:rStyle w:val="Heading1Char"/>
          <w:noProof/>
          <w:color w:val="000000" w:themeColor="text1"/>
          <w:sz w:val="26"/>
          <w:szCs w:val="26"/>
        </w:rPr>
      </w:pPr>
      <w:r w:rsidRPr="00050474">
        <w:rPr>
          <w:rStyle w:val="Heading1Char"/>
          <w:rFonts w:ascii="Times New Roman" w:hAnsi="Times New Roman" w:cs="Times New Roman"/>
          <w:b w:val="0"/>
          <w:noProof/>
          <w:color w:val="000000" w:themeColor="text1"/>
          <w:sz w:val="26"/>
          <w:szCs w:val="26"/>
          <w:lang w:val="vi-VN"/>
        </w:rPr>
        <w:t>Cơ quan quản lý cần xây dựng Bộ chỉ tiêu đánh giá hiệu quả (KPIs) tích hợp công tác kế toán và mức độ chuyển đổi số tại các bệnh viện. Song song đó, việc thiết lập cơ chế kiểm tra định kỳ và đánh giá độc lập hoạt động kế toán cần được triển khai gắn liền với trách nhiệm giải trình của người đứng đầu đơn vị. Đây là nền tảng cốt lõi nhằm đảm bảo tính tuân thủ pháp luật, phòng chống thất thoát tài sản công và tối ưu hóa hiệu quả sử dụng nguồn ngân sách y tế.</w:t>
      </w:r>
    </w:p>
    <w:p w14:paraId="336EE8D6" w14:textId="1D647224" w:rsidR="00342633" w:rsidRPr="00050474" w:rsidRDefault="0051710A">
      <w:pPr>
        <w:pStyle w:val="Heading2"/>
        <w:spacing w:before="0" w:after="0" w:line="360" w:lineRule="auto"/>
        <w:rPr>
          <w:rStyle w:val="Heading1Char"/>
          <w:b/>
          <w:color w:val="000000" w:themeColor="text1"/>
          <w:sz w:val="26"/>
          <w:szCs w:val="26"/>
          <w:lang w:val="vi-VN"/>
        </w:rPr>
      </w:pPr>
      <w:bookmarkStart w:id="146" w:name="_Toc229148406"/>
      <w:r w:rsidRPr="00050474">
        <w:rPr>
          <w:rStyle w:val="Heading1Char"/>
          <w:b/>
          <w:color w:val="000000" w:themeColor="text1"/>
          <w:sz w:val="26"/>
          <w:szCs w:val="26"/>
          <w:lang w:val="vi-VN"/>
        </w:rPr>
        <w:lastRenderedPageBreak/>
        <w:t>3.</w:t>
      </w:r>
      <w:r w:rsidR="00D36138" w:rsidRPr="00050474">
        <w:rPr>
          <w:rStyle w:val="Heading1Char"/>
          <w:b/>
          <w:color w:val="000000" w:themeColor="text1"/>
          <w:sz w:val="26"/>
          <w:szCs w:val="26"/>
        </w:rPr>
        <w:t>5</w:t>
      </w:r>
      <w:r w:rsidRPr="00050474">
        <w:rPr>
          <w:rStyle w:val="Heading1Char"/>
          <w:b/>
          <w:color w:val="000000" w:themeColor="text1"/>
          <w:sz w:val="26"/>
          <w:szCs w:val="26"/>
          <w:lang w:val="vi-VN"/>
        </w:rPr>
        <w:t>.</w:t>
      </w:r>
      <w:r w:rsidRPr="00050474">
        <w:rPr>
          <w:rStyle w:val="Heading1Char"/>
          <w:b/>
          <w:color w:val="000000" w:themeColor="text1"/>
          <w:sz w:val="26"/>
          <w:szCs w:val="26"/>
        </w:rPr>
        <w:t>2</w:t>
      </w:r>
      <w:r w:rsidRPr="00050474">
        <w:rPr>
          <w:rStyle w:val="Heading1Char"/>
          <w:b/>
          <w:color w:val="000000" w:themeColor="text1"/>
          <w:sz w:val="26"/>
          <w:szCs w:val="26"/>
          <w:lang w:val="vi-VN"/>
        </w:rPr>
        <w:t>. Đối với các bệnh viện</w:t>
      </w:r>
      <w:bookmarkEnd w:id="146"/>
    </w:p>
    <w:p w14:paraId="0ADEA8FC" w14:textId="77777777" w:rsidR="00017334" w:rsidRPr="00050474" w:rsidRDefault="00017334" w:rsidP="00017334">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lang w:val="vi-VN"/>
        </w:rPr>
        <w:t>Thứ nhất, xây dựng chiến lược phát triển nguồn nhân lực kế toán gắn liền với lộ trình chuyển đổi số. Bệnh viện cần xác định nhân sự kế toán là yếu tố then chốt để vận hành hệ thống mới. Do đó, cần tổ chức các khóa đào tạo không chỉ dừng lại ở nghiệp vụ kế toán công hay kế toán quản trị thuần túy, mà phải tập trung vào kỹ năng phân tích dữ liệu và sử dụng các công cụ số hóa. Kế hoạch đào tạo cần được thiết kế bài bản, giúp nhân viên kế toán nhận thức sâu từ vai trò nhập liệu sang vai trò phân tích và kiểm soát trong môi trường số.</w:t>
      </w:r>
    </w:p>
    <w:p w14:paraId="1B05889E" w14:textId="77777777" w:rsidR="00017334" w:rsidRPr="00050474" w:rsidRDefault="00017334" w:rsidP="00017334">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lang w:val="vi-VN"/>
        </w:rPr>
        <w:t>Thứ hai, tăng cường ứng dụng công nghệ hiện đại trong công tác kế toán. Các bệnh viện cần đẩy mạnh ứng dụng trí tuệ nhân tạo và dữ liệu lớn để dự báo dòng tiền, phân tích chi phí khám chữa bệnh và tối ưu hóa nguồn lực tài chính. Việc triển khai đồng bộ hóa đơn điện tử, chứng từ điện tử không chỉ giúp minh bạch hóa các giao dịch mà còn là cơ sở dữ liệu quan trọng để hệ thống tự động hóa các khâu đối soát, giảm thiểu sai sót thủ công và rút ngắn thời gian lập báo cáo tài chính.</w:t>
      </w:r>
    </w:p>
    <w:p w14:paraId="3E56CA4C" w14:textId="10E21B63" w:rsidR="00017334" w:rsidRPr="00050474" w:rsidRDefault="00017334" w:rsidP="00017334">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lang w:val="vi-VN"/>
        </w:rPr>
        <w:t xml:space="preserve">Thứ ba, thiết lập hệ thống kiểm soát nội bộ theo hướng quản trị rủi ro. Thay vì mô hình kiểm tra truyền thống (phát hiện sai sót sau khi đã xảy ra), bệnh viện cần xây dựng khung quản trị rủi ro dựa trên dữ liệu thời gian thực. Hệ thống kiểm soát phải được thiết kế để nhận diện sớm các dấu hiệu bất thường trong thu - chi, quản lý dược phẩm và vật tư y tế. </w:t>
      </w:r>
    </w:p>
    <w:p w14:paraId="40E72FFC" w14:textId="34B50888" w:rsidR="00342633" w:rsidRPr="00050474" w:rsidRDefault="0051710A">
      <w:pPr>
        <w:pStyle w:val="Heading2"/>
        <w:spacing w:before="0" w:after="0" w:line="360" w:lineRule="auto"/>
        <w:rPr>
          <w:color w:val="000000" w:themeColor="text1"/>
          <w:szCs w:val="26"/>
          <w:lang w:val="vi-VN"/>
        </w:rPr>
      </w:pPr>
      <w:bookmarkStart w:id="147" w:name="_Toc229148408"/>
      <w:r w:rsidRPr="00050474">
        <w:rPr>
          <w:rStyle w:val="Heading1Char"/>
          <w:b/>
          <w:color w:val="000000" w:themeColor="text1"/>
          <w:sz w:val="26"/>
          <w:szCs w:val="26"/>
          <w:lang w:val="vi-VN"/>
        </w:rPr>
        <w:t>3.</w:t>
      </w:r>
      <w:r w:rsidR="00D36138" w:rsidRPr="00050474">
        <w:rPr>
          <w:rStyle w:val="Heading1Char"/>
          <w:b/>
          <w:color w:val="000000" w:themeColor="text1"/>
          <w:sz w:val="26"/>
          <w:szCs w:val="26"/>
        </w:rPr>
        <w:t>5</w:t>
      </w:r>
      <w:r w:rsidRPr="00050474">
        <w:rPr>
          <w:rStyle w:val="Heading1Char"/>
          <w:b/>
          <w:color w:val="000000" w:themeColor="text1"/>
          <w:sz w:val="26"/>
          <w:szCs w:val="26"/>
          <w:lang w:val="vi-VN"/>
        </w:rPr>
        <w:t>.</w:t>
      </w:r>
      <w:r w:rsidRPr="00050474">
        <w:rPr>
          <w:rStyle w:val="Heading1Char"/>
          <w:b/>
          <w:color w:val="000000" w:themeColor="text1"/>
          <w:sz w:val="26"/>
          <w:szCs w:val="26"/>
        </w:rPr>
        <w:t>3</w:t>
      </w:r>
      <w:r w:rsidRPr="00050474">
        <w:rPr>
          <w:rStyle w:val="Heading1Char"/>
          <w:b/>
          <w:color w:val="000000" w:themeColor="text1"/>
          <w:sz w:val="26"/>
          <w:szCs w:val="26"/>
          <w:lang w:val="vi-VN"/>
        </w:rPr>
        <w:t>. Đối với cơ sở đào tạo và phát triển nguồn nhân lực kế toán</w:t>
      </w:r>
      <w:bookmarkEnd w:id="147"/>
    </w:p>
    <w:p w14:paraId="5DD240C0" w14:textId="61631C45" w:rsidR="00017334" w:rsidRPr="00050474" w:rsidRDefault="00017334">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rPr>
        <w:t>C</w:t>
      </w:r>
      <w:r w:rsidRPr="00050474">
        <w:rPr>
          <w:rStyle w:val="Heading1Char"/>
          <w:rFonts w:ascii="Times New Roman" w:hAnsi="Times New Roman" w:cs="Times New Roman"/>
          <w:b w:val="0"/>
          <w:noProof/>
          <w:color w:val="000000" w:themeColor="text1"/>
          <w:sz w:val="26"/>
          <w:szCs w:val="26"/>
          <w:lang w:val="vi-VN"/>
        </w:rPr>
        <w:t xml:space="preserve">ập nhật nội dung chương trình đào tạo theo xu thế công nghệ. Các trường đại học cần rà soát, điều chỉnh giáo trình kế toán công theo hướng tích hợp các học phần về kế toán số, ứng dụng AI và Big Data trong quản lý tài chính công. </w:t>
      </w:r>
    </w:p>
    <w:p w14:paraId="660AE61B" w14:textId="77777777" w:rsidR="00017334" w:rsidRPr="00050474" w:rsidRDefault="00017334">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rPr>
        <w:t>T</w:t>
      </w:r>
      <w:r w:rsidRPr="00050474">
        <w:rPr>
          <w:rStyle w:val="Heading1Char"/>
          <w:rFonts w:ascii="Times New Roman" w:hAnsi="Times New Roman" w:cs="Times New Roman"/>
          <w:b w:val="0"/>
          <w:noProof/>
          <w:color w:val="000000" w:themeColor="text1"/>
          <w:sz w:val="26"/>
          <w:szCs w:val="26"/>
          <w:lang w:val="vi-VN"/>
        </w:rPr>
        <w:t>hắt chặt mối quan hệ hợp tác chiến lược với các bệnh viện. Việc hợp tác không nên chỉ dừng lại ở thực tập nghề nghiệp mà cần mở rộng sang việc phối hợp nghiên cứu các mô hình kế toán quản trị đặc thù cho ngành y tế. Các cơ sở đào tạo có thể đóng vai trò là đơn vị tư vấn kỹ thuật, hỗ trợ các bệnh viện trong quá trình chuyển đổi từ hệ thống kiểm soát truyền thống sang hệ thống quản trị rủi ro hiện đại.</w:t>
      </w:r>
    </w:p>
    <w:p w14:paraId="06E60973" w14:textId="0E1C0F22" w:rsidR="00CB0922" w:rsidRPr="00050474" w:rsidRDefault="00017334" w:rsidP="009462CF">
      <w:pPr>
        <w:spacing w:line="360" w:lineRule="auto"/>
        <w:ind w:firstLine="567"/>
        <w:jc w:val="both"/>
        <w:rPr>
          <w:rStyle w:val="Heading1Char"/>
          <w:rFonts w:ascii="Times New Roman" w:hAnsi="Times New Roman" w:cs="Times New Roman"/>
          <w:b w:val="0"/>
          <w:noProof/>
          <w:color w:val="000000" w:themeColor="text1"/>
          <w:sz w:val="26"/>
          <w:szCs w:val="26"/>
          <w:lang w:val="vi-VN"/>
        </w:rPr>
      </w:pPr>
      <w:r w:rsidRPr="00050474">
        <w:rPr>
          <w:rStyle w:val="Heading1Char"/>
          <w:rFonts w:ascii="Times New Roman" w:hAnsi="Times New Roman" w:cs="Times New Roman"/>
          <w:b w:val="0"/>
          <w:noProof/>
          <w:color w:val="000000" w:themeColor="text1"/>
          <w:sz w:val="26"/>
          <w:szCs w:val="26"/>
        </w:rPr>
        <w:t>X</w:t>
      </w:r>
      <w:r w:rsidRPr="00050474">
        <w:rPr>
          <w:rStyle w:val="Heading1Char"/>
          <w:rFonts w:ascii="Times New Roman" w:hAnsi="Times New Roman" w:cs="Times New Roman"/>
          <w:b w:val="0"/>
          <w:noProof/>
          <w:color w:val="000000" w:themeColor="text1"/>
          <w:sz w:val="26"/>
          <w:szCs w:val="26"/>
          <w:lang w:val="vi-VN"/>
        </w:rPr>
        <w:t xml:space="preserve">ây dựng mạng lưới chuyên gia và cố vấn chuyển đổi số. Cần hình thành một cộng đồng kết nối giữa các giảng viên giàu kinh nghiệm và các kế toán trưởng tại bệnh viện để chia sẻ các tình huống thực tế về xử lý dữ liệu lớn và quản trị rủi ro tài chính. </w:t>
      </w:r>
    </w:p>
    <w:p w14:paraId="3C0294A9" w14:textId="4A0DDB81" w:rsidR="00017334" w:rsidRPr="00050474" w:rsidRDefault="00017334" w:rsidP="00017334">
      <w:pPr>
        <w:rPr>
          <w:rStyle w:val="Heading1Char"/>
          <w:rFonts w:cs="Times New Roman"/>
          <w:bCs w:val="0"/>
          <w:noProof/>
          <w:color w:val="000000" w:themeColor="text1"/>
          <w:szCs w:val="26"/>
          <w:lang w:val="vi-VN"/>
        </w:rPr>
      </w:pPr>
    </w:p>
    <w:p w14:paraId="574DF998" w14:textId="78AB40B8" w:rsidR="00CB0922" w:rsidRPr="00050474" w:rsidRDefault="00CB0922">
      <w:pPr>
        <w:rPr>
          <w:rFonts w:ascii="Times New Roman" w:hAnsi="Times New Roman" w:cs="Times New Roman"/>
          <w:color w:val="000000" w:themeColor="text1"/>
          <w:szCs w:val="26"/>
        </w:rPr>
      </w:pPr>
    </w:p>
    <w:p w14:paraId="19CE0B05" w14:textId="77777777" w:rsidR="00342633" w:rsidRPr="00050474" w:rsidRDefault="0051710A">
      <w:pPr>
        <w:pStyle w:val="Binhthuong"/>
        <w:spacing w:before="0" w:after="0"/>
        <w:ind w:firstLine="0"/>
        <w:jc w:val="center"/>
        <w:outlineLvl w:val="0"/>
        <w:rPr>
          <w:rFonts w:eastAsiaTheme="minorEastAsia"/>
          <w:b/>
          <w:color w:val="000000" w:themeColor="text1"/>
        </w:rPr>
      </w:pPr>
      <w:bookmarkStart w:id="148" w:name="_Toc216648275"/>
      <w:r w:rsidRPr="00050474">
        <w:rPr>
          <w:rFonts w:eastAsiaTheme="minorEastAsia"/>
          <w:b/>
          <w:color w:val="000000" w:themeColor="text1"/>
        </w:rPr>
        <w:lastRenderedPageBreak/>
        <w:t>DANH MỤC CÔNG TRÌNH NGHIÊN CỨU CỦA TÁC GIẢ CÓ LIÊN QUAN ĐẾN LUẬN ÁN</w:t>
      </w:r>
      <w:bookmarkEnd w:id="148"/>
    </w:p>
    <w:p w14:paraId="10897D9C" w14:textId="77777777" w:rsidR="00342633" w:rsidRPr="00050474" w:rsidRDefault="00342633">
      <w:pPr>
        <w:pStyle w:val="Binhthuong"/>
        <w:spacing w:before="0" w:after="0"/>
        <w:ind w:firstLine="0"/>
        <w:jc w:val="center"/>
        <w:outlineLvl w:val="0"/>
        <w:rPr>
          <w:rFonts w:eastAsiaTheme="minorEastAsia"/>
          <w:b/>
          <w:color w:val="000000" w:themeColor="text1"/>
          <w:sz w:val="28"/>
          <w:szCs w:val="28"/>
        </w:rPr>
      </w:pPr>
    </w:p>
    <w:p w14:paraId="6C0208C1" w14:textId="77777777" w:rsidR="00CB0922" w:rsidRPr="00050474" w:rsidRDefault="00CB0922" w:rsidP="00CB0922">
      <w:pPr>
        <w:pStyle w:val="Binhthuong"/>
        <w:spacing w:before="0" w:after="0"/>
        <w:ind w:left="567" w:hanging="567"/>
        <w:outlineLvl w:val="0"/>
        <w:rPr>
          <w:rFonts w:eastAsiaTheme="minorEastAsia"/>
          <w:color w:val="000000" w:themeColor="text1"/>
        </w:rPr>
      </w:pPr>
      <w:r w:rsidRPr="00050474">
        <w:rPr>
          <w:b/>
          <w:color w:val="000000" w:themeColor="text1"/>
        </w:rPr>
        <w:t>1.</w:t>
      </w:r>
      <w:r w:rsidRPr="00050474">
        <w:rPr>
          <w:color w:val="000000" w:themeColor="text1"/>
        </w:rPr>
        <w:t xml:space="preserve"> </w:t>
      </w:r>
      <w:r w:rsidRPr="00050474">
        <w:rPr>
          <w:rFonts w:eastAsiaTheme="minorEastAsia"/>
          <w:color w:val="000000" w:themeColor="text1"/>
        </w:rPr>
        <w:t xml:space="preserve">Trần Thị Tuyết Hạnh, Ngô Thị Thu Hồng, Bùi Thị Thu Hương, Phan Thị Kiều (2025). </w:t>
      </w:r>
      <w:r w:rsidRPr="00050474">
        <w:rPr>
          <w:color w:val="000000" w:themeColor="text1"/>
        </w:rPr>
        <w:t xml:space="preserve">Hoàn thiện tổ chức công tác kế toán tại các Bệnh viện công lập khu vực Đồng bằng sông Cửu Long. </w:t>
      </w:r>
      <w:r w:rsidRPr="00050474">
        <w:rPr>
          <w:i/>
          <w:iCs/>
          <w:color w:val="000000" w:themeColor="text1"/>
        </w:rPr>
        <w:t>Tạp chí Kinh tế - Tài chính, kỳ 2 – tháng 12/2025 (8), 160-164.</w:t>
      </w:r>
    </w:p>
    <w:p w14:paraId="2516C781" w14:textId="77777777" w:rsidR="00CB0922" w:rsidRPr="00050474" w:rsidRDefault="00CB0922" w:rsidP="00CB0922">
      <w:pPr>
        <w:pStyle w:val="Binhthuong"/>
        <w:spacing w:before="0" w:after="0"/>
        <w:ind w:left="567" w:hanging="567"/>
        <w:outlineLvl w:val="0"/>
        <w:rPr>
          <w:i/>
          <w:iCs/>
          <w:color w:val="000000" w:themeColor="text1"/>
        </w:rPr>
      </w:pPr>
      <w:r w:rsidRPr="00050474">
        <w:rPr>
          <w:rFonts w:eastAsiaTheme="minorEastAsia"/>
          <w:b/>
          <w:color w:val="000000" w:themeColor="text1"/>
        </w:rPr>
        <w:t>2.</w:t>
      </w:r>
      <w:r w:rsidRPr="00050474">
        <w:rPr>
          <w:rFonts w:eastAsiaTheme="minorEastAsia"/>
          <w:color w:val="000000" w:themeColor="text1"/>
        </w:rPr>
        <w:t xml:space="preserve"> Trần Thị Tuyết Hạnh, Phạm Văn Cà, Nguyễn Thị Thanh Thủy, Nguyễn Thanh Nguyên, Nguyễn Thị Diễm Trinh (2026).</w:t>
      </w:r>
      <w:r w:rsidRPr="00050474">
        <w:rPr>
          <w:rFonts w:eastAsiaTheme="minorEastAsia"/>
          <w:b/>
          <w:color w:val="000000" w:themeColor="text1"/>
        </w:rPr>
        <w:t xml:space="preserve"> </w:t>
      </w:r>
      <w:r w:rsidRPr="00050474">
        <w:rPr>
          <w:color w:val="000000" w:themeColor="text1"/>
        </w:rPr>
        <w:t xml:space="preserve">Nhân tố ảnh hưởng đến công tác kế toán tại các bệnh viện công lập khu vực Đồng bằng sông Cửu Long. </w:t>
      </w:r>
      <w:r w:rsidRPr="00050474">
        <w:rPr>
          <w:i/>
          <w:iCs/>
          <w:color w:val="000000" w:themeColor="text1"/>
        </w:rPr>
        <w:t>Tạp chí Kinh tế - Tài chính, kỳ 1 – tháng 01/2026 (10), 160-164.</w:t>
      </w:r>
    </w:p>
    <w:p w14:paraId="75F06F36" w14:textId="77777777" w:rsidR="00CB0922" w:rsidRPr="00050474" w:rsidRDefault="00CB0922" w:rsidP="00CB0922">
      <w:pPr>
        <w:pStyle w:val="Binhthuong"/>
        <w:spacing w:before="0" w:after="0"/>
        <w:ind w:left="567" w:hanging="567"/>
        <w:outlineLvl w:val="0"/>
        <w:rPr>
          <w:iCs/>
          <w:color w:val="000000" w:themeColor="text1"/>
        </w:rPr>
      </w:pPr>
      <w:r w:rsidRPr="00050474">
        <w:rPr>
          <w:b/>
          <w:i/>
          <w:iCs/>
          <w:color w:val="000000" w:themeColor="text1"/>
        </w:rPr>
        <w:t xml:space="preserve">3. </w:t>
      </w:r>
      <w:r w:rsidRPr="00050474">
        <w:rPr>
          <w:iCs/>
          <w:color w:val="000000" w:themeColor="text1"/>
        </w:rPr>
        <w:t>Trần Thị Tuyết Hạnh, Bùi Thị Thu Hương, Phạm Văn Cà, Nguyễn Thị Kim Chi (2026). Báo cáo tài chính trong bệnh viện công lập: Thực trạng và giải pháp từ góc nhìn Bệnh viện Trường Đại học Trà Vinh. Tạp chí nghiên cứu tài chính kế toán, kỳ 2 tháng 3 (số 308) – 2026, 70-73.</w:t>
      </w:r>
    </w:p>
    <w:p w14:paraId="23E7522C" w14:textId="77777777" w:rsidR="00CB0922" w:rsidRPr="00050474" w:rsidRDefault="00CB0922" w:rsidP="00CB0922">
      <w:pPr>
        <w:pStyle w:val="Binhthuong"/>
        <w:spacing w:before="0" w:after="0"/>
        <w:ind w:left="567" w:hanging="567"/>
        <w:outlineLvl w:val="0"/>
        <w:rPr>
          <w:color w:val="000000" w:themeColor="text1"/>
        </w:rPr>
      </w:pPr>
      <w:r w:rsidRPr="00050474">
        <w:rPr>
          <w:b/>
          <w:iCs/>
          <w:color w:val="000000" w:themeColor="text1"/>
        </w:rPr>
        <w:t xml:space="preserve">4. </w:t>
      </w:r>
      <w:r w:rsidRPr="00050474">
        <w:rPr>
          <w:iCs/>
          <w:color w:val="000000" w:themeColor="text1"/>
        </w:rPr>
        <w:t>Trần Thị Tuyết Hạnh, Ngô Thị Thu Hồng, Bùi Thị Thu Hương, Phạm Văn Cà (2026). Tổ chức công tác kế toán khu vực công tại Việt Nam: Từ tổng quan lý luận đến những khoảng trống nghiên cứu và định hướng phát t</w:t>
      </w:r>
      <w:bookmarkStart w:id="149" w:name="_GoBack"/>
      <w:bookmarkEnd w:id="149"/>
      <w:r w:rsidRPr="00050474">
        <w:rPr>
          <w:iCs/>
          <w:color w:val="000000" w:themeColor="text1"/>
        </w:rPr>
        <w:t>riển. Tạp chí nghiên cứu tài chính kế toán, kỳ 2 tháng 5 (số 312) – 2026, 67-70.</w:t>
      </w:r>
    </w:p>
    <w:p w14:paraId="4D45D3A5" w14:textId="77777777" w:rsidR="00342633" w:rsidRPr="00050474" w:rsidRDefault="00342633">
      <w:pPr>
        <w:jc w:val="center"/>
        <w:rPr>
          <w:rFonts w:ascii="Times New Roman" w:hAnsi="Times New Roman" w:cs="Times New Roman"/>
          <w:color w:val="000000" w:themeColor="text1"/>
          <w:szCs w:val="26"/>
        </w:rPr>
      </w:pPr>
    </w:p>
    <w:p w14:paraId="0AD54F50" w14:textId="77777777" w:rsidR="00342633" w:rsidRPr="00050474" w:rsidRDefault="00342633">
      <w:pPr>
        <w:jc w:val="center"/>
        <w:rPr>
          <w:rFonts w:ascii="Times New Roman" w:hAnsi="Times New Roman" w:cs="Times New Roman"/>
          <w:color w:val="000000" w:themeColor="text1"/>
          <w:szCs w:val="26"/>
        </w:rPr>
      </w:pPr>
    </w:p>
    <w:p w14:paraId="345078E5" w14:textId="77777777" w:rsidR="00342633" w:rsidRPr="00050474" w:rsidRDefault="00342633">
      <w:pPr>
        <w:jc w:val="center"/>
        <w:rPr>
          <w:rFonts w:ascii="Times New Roman" w:hAnsi="Times New Roman" w:cs="Times New Roman"/>
          <w:color w:val="000000" w:themeColor="text1"/>
          <w:szCs w:val="26"/>
        </w:rPr>
      </w:pPr>
    </w:p>
    <w:sectPr w:rsidR="00342633" w:rsidRPr="00050474">
      <w:headerReference w:type="first" r:id="rId14"/>
      <w:pgSz w:w="11909" w:h="16834"/>
      <w:pgMar w:top="828" w:right="1021" w:bottom="851" w:left="1814" w:header="425" w:footer="66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4B152" w14:textId="77777777" w:rsidR="00A97655" w:rsidRDefault="00A97655">
      <w:r>
        <w:separator/>
      </w:r>
    </w:p>
  </w:endnote>
  <w:endnote w:type="continuationSeparator" w:id="0">
    <w:p w14:paraId="686BE357" w14:textId="77777777" w:rsidR="00A97655" w:rsidRDefault="00A9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5DBBB" w14:textId="77777777" w:rsidR="00733CC4" w:rsidRDefault="00733CC4">
    <w:pPr>
      <w:pStyle w:val="Footer"/>
      <w:spacing w:before="160"/>
      <w:jc w:val="center"/>
      <w:rPr>
        <w:rFonts w:ascii="Times New Roman" w:hAnsi="Times New Roman"/>
        <w:caps/>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1BA05" w14:textId="77777777" w:rsidR="00733CC4" w:rsidRDefault="00733CC4">
    <w:pPr>
      <w:pStyle w:val="Footer"/>
      <w:jc w:val="center"/>
      <w:rPr>
        <w:rFonts w:ascii="Times New Roman" w:hAnsi="Times New Roman" w:cs="Times New Roman"/>
      </w:rPr>
    </w:pPr>
  </w:p>
  <w:p w14:paraId="1E3A3938" w14:textId="77777777" w:rsidR="00733CC4" w:rsidRDefault="00733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29E58" w14:textId="77777777" w:rsidR="00A97655" w:rsidRDefault="00A97655">
      <w:r>
        <w:separator/>
      </w:r>
    </w:p>
  </w:footnote>
  <w:footnote w:type="continuationSeparator" w:id="0">
    <w:p w14:paraId="067677B2" w14:textId="77777777" w:rsidR="00A97655" w:rsidRDefault="00A9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071387"/>
    </w:sdtPr>
    <w:sdtEndPr>
      <w:rPr>
        <w:rFonts w:ascii="Times New Roman" w:hAnsi="Times New Roman" w:cs="Times New Roman"/>
      </w:rPr>
    </w:sdtEndPr>
    <w:sdtContent>
      <w:p w14:paraId="48B63579" w14:textId="77777777" w:rsidR="00733CC4" w:rsidRDefault="00733CC4">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p w14:paraId="112E3DB3" w14:textId="77777777" w:rsidR="00733CC4" w:rsidRDefault="00733CC4">
    <w:pPr>
      <w:pStyle w:val="Header"/>
      <w:tabs>
        <w:tab w:val="clear" w:pos="8640"/>
        <w:tab w:val="right" w:pos="7920"/>
      </w:tabs>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41DAD" w14:textId="77777777" w:rsidR="00733CC4" w:rsidRDefault="00733CC4">
    <w:pPr>
      <w:pStyle w:val="Header"/>
      <w:jc w:val="center"/>
      <w:rPr>
        <w:rFonts w:ascii="Times New Roman" w:hAnsi="Times New Roman" w:cs="Times New Roman"/>
        <w:i/>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CB9FD" w14:textId="77777777" w:rsidR="00733CC4" w:rsidRDefault="00733CC4">
    <w:pPr>
      <w:pStyle w:val="Header"/>
      <w:jc w:val="center"/>
      <w:rPr>
        <w:rFonts w:ascii="Times New Roman" w:hAnsi="Times New Roman" w:cs="Times New Roman"/>
        <w:i/>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AD0A4" w14:textId="77777777" w:rsidR="00733CC4" w:rsidRDefault="00733CC4">
    <w:pPr>
      <w:pStyle w:val="Header"/>
      <w:jc w:val="center"/>
      <w:rPr>
        <w:rFonts w:ascii="Times New Roman" w:hAnsi="Times New Roman" w:cs="Times New Roman"/>
        <w:iCs/>
        <w:sz w:val="24"/>
      </w:rPr>
    </w:pPr>
    <w:r>
      <w:rPr>
        <w:rFonts w:ascii="Times New Roman" w:hAnsi="Times New Roman" w:cs="Times New Roman"/>
        <w:iCs/>
        <w:sz w:val="24"/>
      </w:rPr>
      <w:fldChar w:fldCharType="begin"/>
    </w:r>
    <w:r>
      <w:rPr>
        <w:rFonts w:ascii="Times New Roman" w:hAnsi="Times New Roman" w:cs="Times New Roman"/>
        <w:iCs/>
        <w:sz w:val="24"/>
      </w:rPr>
      <w:instrText xml:space="preserve"> PAGE   \* MERGEFORMAT </w:instrText>
    </w:r>
    <w:r>
      <w:rPr>
        <w:rFonts w:ascii="Times New Roman" w:hAnsi="Times New Roman" w:cs="Times New Roman"/>
        <w:iCs/>
        <w:sz w:val="24"/>
      </w:rPr>
      <w:fldChar w:fldCharType="separate"/>
    </w:r>
    <w:r>
      <w:rPr>
        <w:rFonts w:ascii="Times New Roman" w:hAnsi="Times New Roman" w:cs="Times New Roman"/>
        <w:iCs/>
        <w:sz w:val="24"/>
      </w:rPr>
      <w:t>1</w:t>
    </w:r>
    <w:r>
      <w:rPr>
        <w:rFonts w:ascii="Times New Roman" w:hAnsi="Times New Roman" w:cs="Times New Roman"/>
        <w:iCs/>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16207695"/>
    <w:multiLevelType w:val="multilevel"/>
    <w:tmpl w:val="16207695"/>
    <w:lvl w:ilvl="0">
      <w:start w:val="1"/>
      <w:numFmt w:val="decimal"/>
      <w:pStyle w:val="chuong"/>
      <w:lvlText w:val="CHƯƠNG %1."/>
      <w:lvlJc w:val="left"/>
      <w:pPr>
        <w:ind w:left="113" w:hanging="113"/>
      </w:pPr>
    </w:lvl>
    <w:lvl w:ilvl="1">
      <w:start w:val="1"/>
      <w:numFmt w:val="decimal"/>
      <w:lvlText w:val="%1.%2"/>
      <w:lvlJc w:val="left"/>
      <w:pPr>
        <w:ind w:left="360" w:hanging="360"/>
      </w:pPr>
    </w:lvl>
    <w:lvl w:ilvl="2">
      <w:start w:val="1"/>
      <w:numFmt w:val="decimal"/>
      <w:lvlText w:val="%1.%2.%3"/>
      <w:lvlJc w:val="left"/>
      <w:pPr>
        <w:ind w:left="92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9EB1F0A"/>
    <w:multiLevelType w:val="multilevel"/>
    <w:tmpl w:val="39EB1F0A"/>
    <w:lvl w:ilvl="0">
      <w:start w:val="1"/>
      <w:numFmt w:val="low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65E6761D"/>
    <w:multiLevelType w:val="multilevel"/>
    <w:tmpl w:val="65E6761D"/>
    <w:lvl w:ilvl="0">
      <w:numFmt w:val="bullet"/>
      <w:lvlText w:val="-"/>
      <w:lvlJc w:val="left"/>
      <w:pPr>
        <w:ind w:left="928" w:hanging="360"/>
      </w:pPr>
      <w:rPr>
        <w:rFonts w:ascii="Times New Roman" w:eastAsiaTheme="minorHAnsi" w:hAnsi="Times New Roman" w:cs="Times New Roman"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4" w15:restartNumberingAfterBreak="0">
    <w:nsid w:val="7F606043"/>
    <w:multiLevelType w:val="multilevel"/>
    <w:tmpl w:val="7F606043"/>
    <w:lvl w:ilvl="0">
      <w:start w:val="1"/>
      <w:numFmt w:val="decimal"/>
      <w:pStyle w:val="Style1"/>
      <w:lvlText w:val="CHƯƠNG %1."/>
      <w:lvlJc w:val="left"/>
      <w:pPr>
        <w:ind w:left="360" w:hanging="360"/>
      </w:pPr>
      <w:rPr>
        <w:rFonts w:hint="default"/>
      </w:rPr>
    </w:lvl>
    <w:lvl w:ilvl="1">
      <w:start w:val="1"/>
      <w:numFmt w:val="decimal"/>
      <w:pStyle w:val="Style2"/>
      <w:lvlText w:val="%1.%2."/>
      <w:lvlJc w:val="left"/>
      <w:pPr>
        <w:ind w:left="5292" w:hanging="432"/>
      </w:pPr>
    </w:lvl>
    <w:lvl w:ilvl="2">
      <w:start w:val="1"/>
      <w:numFmt w:val="decimal"/>
      <w:pStyle w:val="Style3"/>
      <w:lvlText w:val="%1.%2.%3."/>
      <w:lvlJc w:val="left"/>
      <w:pPr>
        <w:ind w:left="6264" w:hanging="504"/>
      </w:pPr>
    </w:lvl>
    <w:lvl w:ilvl="3">
      <w:start w:val="1"/>
      <w:numFmt w:val="decimal"/>
      <w:pStyle w:val="Style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CA2"/>
    <w:rsid w:val="0000034D"/>
    <w:rsid w:val="00000C03"/>
    <w:rsid w:val="00000F96"/>
    <w:rsid w:val="0000166D"/>
    <w:rsid w:val="00001883"/>
    <w:rsid w:val="00002E94"/>
    <w:rsid w:val="00003B11"/>
    <w:rsid w:val="00004687"/>
    <w:rsid w:val="00004B95"/>
    <w:rsid w:val="00004D97"/>
    <w:rsid w:val="000063DF"/>
    <w:rsid w:val="000066B9"/>
    <w:rsid w:val="00007CEC"/>
    <w:rsid w:val="00010170"/>
    <w:rsid w:val="000104E4"/>
    <w:rsid w:val="000122A4"/>
    <w:rsid w:val="00013124"/>
    <w:rsid w:val="000131BD"/>
    <w:rsid w:val="000141DA"/>
    <w:rsid w:val="00014ABA"/>
    <w:rsid w:val="000157C8"/>
    <w:rsid w:val="00016836"/>
    <w:rsid w:val="00016AFD"/>
    <w:rsid w:val="00017334"/>
    <w:rsid w:val="00017603"/>
    <w:rsid w:val="00017F6B"/>
    <w:rsid w:val="00020695"/>
    <w:rsid w:val="0002116C"/>
    <w:rsid w:val="00021D69"/>
    <w:rsid w:val="000221C2"/>
    <w:rsid w:val="00022935"/>
    <w:rsid w:val="00024866"/>
    <w:rsid w:val="000248AF"/>
    <w:rsid w:val="00024AF6"/>
    <w:rsid w:val="00025EAD"/>
    <w:rsid w:val="00026A69"/>
    <w:rsid w:val="0002790B"/>
    <w:rsid w:val="00027E88"/>
    <w:rsid w:val="00030550"/>
    <w:rsid w:val="00030581"/>
    <w:rsid w:val="000307CC"/>
    <w:rsid w:val="0003129E"/>
    <w:rsid w:val="00031B57"/>
    <w:rsid w:val="00032F7A"/>
    <w:rsid w:val="00032FDA"/>
    <w:rsid w:val="00034025"/>
    <w:rsid w:val="000342DF"/>
    <w:rsid w:val="00034A4C"/>
    <w:rsid w:val="00035559"/>
    <w:rsid w:val="00036041"/>
    <w:rsid w:val="00036439"/>
    <w:rsid w:val="00036ECD"/>
    <w:rsid w:val="00036F19"/>
    <w:rsid w:val="000412F1"/>
    <w:rsid w:val="00041535"/>
    <w:rsid w:val="00041F05"/>
    <w:rsid w:val="00043900"/>
    <w:rsid w:val="00043CF8"/>
    <w:rsid w:val="00043F14"/>
    <w:rsid w:val="0004497D"/>
    <w:rsid w:val="00045BA7"/>
    <w:rsid w:val="00045EC5"/>
    <w:rsid w:val="00046597"/>
    <w:rsid w:val="0004726E"/>
    <w:rsid w:val="00047588"/>
    <w:rsid w:val="00047BA6"/>
    <w:rsid w:val="00050474"/>
    <w:rsid w:val="00050928"/>
    <w:rsid w:val="00050DDC"/>
    <w:rsid w:val="000517C6"/>
    <w:rsid w:val="0005264B"/>
    <w:rsid w:val="000527FD"/>
    <w:rsid w:val="00052EB1"/>
    <w:rsid w:val="000533C7"/>
    <w:rsid w:val="00056CE2"/>
    <w:rsid w:val="000570E9"/>
    <w:rsid w:val="00057B21"/>
    <w:rsid w:val="00060859"/>
    <w:rsid w:val="0006097B"/>
    <w:rsid w:val="0006214E"/>
    <w:rsid w:val="00062536"/>
    <w:rsid w:val="000628F6"/>
    <w:rsid w:val="000644F5"/>
    <w:rsid w:val="00064DA4"/>
    <w:rsid w:val="0006523F"/>
    <w:rsid w:val="000662CB"/>
    <w:rsid w:val="00066633"/>
    <w:rsid w:val="0006726E"/>
    <w:rsid w:val="00067E17"/>
    <w:rsid w:val="0007067A"/>
    <w:rsid w:val="00070C7D"/>
    <w:rsid w:val="000726CC"/>
    <w:rsid w:val="000726FB"/>
    <w:rsid w:val="00072C18"/>
    <w:rsid w:val="00072CED"/>
    <w:rsid w:val="0007346F"/>
    <w:rsid w:val="000744A9"/>
    <w:rsid w:val="00074C1E"/>
    <w:rsid w:val="00074D83"/>
    <w:rsid w:val="000765D2"/>
    <w:rsid w:val="000768E4"/>
    <w:rsid w:val="00080529"/>
    <w:rsid w:val="00080607"/>
    <w:rsid w:val="00081829"/>
    <w:rsid w:val="00082401"/>
    <w:rsid w:val="00085CB1"/>
    <w:rsid w:val="00085FF4"/>
    <w:rsid w:val="00091B10"/>
    <w:rsid w:val="00092B8C"/>
    <w:rsid w:val="00092BC3"/>
    <w:rsid w:val="0009371F"/>
    <w:rsid w:val="00093923"/>
    <w:rsid w:val="00093D6E"/>
    <w:rsid w:val="00093D72"/>
    <w:rsid w:val="00093D8D"/>
    <w:rsid w:val="000944E3"/>
    <w:rsid w:val="0009506D"/>
    <w:rsid w:val="0009538B"/>
    <w:rsid w:val="00095980"/>
    <w:rsid w:val="00096C46"/>
    <w:rsid w:val="00096FF4"/>
    <w:rsid w:val="000971E4"/>
    <w:rsid w:val="000973ED"/>
    <w:rsid w:val="0009782B"/>
    <w:rsid w:val="00097DFD"/>
    <w:rsid w:val="00097E87"/>
    <w:rsid w:val="000A0D69"/>
    <w:rsid w:val="000A16BA"/>
    <w:rsid w:val="000A1D46"/>
    <w:rsid w:val="000A20DC"/>
    <w:rsid w:val="000A298F"/>
    <w:rsid w:val="000A3914"/>
    <w:rsid w:val="000A3C20"/>
    <w:rsid w:val="000A5426"/>
    <w:rsid w:val="000A5C7F"/>
    <w:rsid w:val="000A79BA"/>
    <w:rsid w:val="000A7DFE"/>
    <w:rsid w:val="000A7F78"/>
    <w:rsid w:val="000B04EC"/>
    <w:rsid w:val="000B0A65"/>
    <w:rsid w:val="000B0E53"/>
    <w:rsid w:val="000B12A3"/>
    <w:rsid w:val="000B13B8"/>
    <w:rsid w:val="000B267D"/>
    <w:rsid w:val="000B2EDA"/>
    <w:rsid w:val="000B321D"/>
    <w:rsid w:val="000B5744"/>
    <w:rsid w:val="000B59C7"/>
    <w:rsid w:val="000B69D9"/>
    <w:rsid w:val="000B7B8D"/>
    <w:rsid w:val="000C08F2"/>
    <w:rsid w:val="000C157F"/>
    <w:rsid w:val="000C1BA4"/>
    <w:rsid w:val="000C2516"/>
    <w:rsid w:val="000C33C3"/>
    <w:rsid w:val="000C5343"/>
    <w:rsid w:val="000C551F"/>
    <w:rsid w:val="000C5B0B"/>
    <w:rsid w:val="000C6EDA"/>
    <w:rsid w:val="000C7D3B"/>
    <w:rsid w:val="000C7D5D"/>
    <w:rsid w:val="000C7FA5"/>
    <w:rsid w:val="000D043B"/>
    <w:rsid w:val="000D0F46"/>
    <w:rsid w:val="000D1094"/>
    <w:rsid w:val="000D202B"/>
    <w:rsid w:val="000D26F3"/>
    <w:rsid w:val="000D291A"/>
    <w:rsid w:val="000D2D36"/>
    <w:rsid w:val="000D306A"/>
    <w:rsid w:val="000D3CD9"/>
    <w:rsid w:val="000D3E28"/>
    <w:rsid w:val="000D3F87"/>
    <w:rsid w:val="000D4AD4"/>
    <w:rsid w:val="000D4EC3"/>
    <w:rsid w:val="000E01D5"/>
    <w:rsid w:val="000E0986"/>
    <w:rsid w:val="000E1260"/>
    <w:rsid w:val="000E1D43"/>
    <w:rsid w:val="000E2A8A"/>
    <w:rsid w:val="000E2C5D"/>
    <w:rsid w:val="000E35CA"/>
    <w:rsid w:val="000E4B37"/>
    <w:rsid w:val="000E4C17"/>
    <w:rsid w:val="000E52BF"/>
    <w:rsid w:val="000E593E"/>
    <w:rsid w:val="000E700C"/>
    <w:rsid w:val="000F17AD"/>
    <w:rsid w:val="000F357B"/>
    <w:rsid w:val="000F5148"/>
    <w:rsid w:val="000F53BA"/>
    <w:rsid w:val="000F54BF"/>
    <w:rsid w:val="000F6E1E"/>
    <w:rsid w:val="000F7398"/>
    <w:rsid w:val="000F7E66"/>
    <w:rsid w:val="000F7FD4"/>
    <w:rsid w:val="0010040B"/>
    <w:rsid w:val="00102052"/>
    <w:rsid w:val="00105CB6"/>
    <w:rsid w:val="00105D6F"/>
    <w:rsid w:val="0010660A"/>
    <w:rsid w:val="001068FD"/>
    <w:rsid w:val="00107503"/>
    <w:rsid w:val="001078D5"/>
    <w:rsid w:val="00111321"/>
    <w:rsid w:val="00111A11"/>
    <w:rsid w:val="00111DDB"/>
    <w:rsid w:val="00111EF9"/>
    <w:rsid w:val="00112EA9"/>
    <w:rsid w:val="001136AC"/>
    <w:rsid w:val="00113DA9"/>
    <w:rsid w:val="00114E6B"/>
    <w:rsid w:val="0011566E"/>
    <w:rsid w:val="001165B3"/>
    <w:rsid w:val="00116927"/>
    <w:rsid w:val="00116BD7"/>
    <w:rsid w:val="001170C9"/>
    <w:rsid w:val="0011759D"/>
    <w:rsid w:val="0011773D"/>
    <w:rsid w:val="00117D53"/>
    <w:rsid w:val="001244E6"/>
    <w:rsid w:val="00125040"/>
    <w:rsid w:val="00125C79"/>
    <w:rsid w:val="00125F70"/>
    <w:rsid w:val="00126CBE"/>
    <w:rsid w:val="00130146"/>
    <w:rsid w:val="0013345B"/>
    <w:rsid w:val="00133BB4"/>
    <w:rsid w:val="00135073"/>
    <w:rsid w:val="00135219"/>
    <w:rsid w:val="00135E35"/>
    <w:rsid w:val="0013603E"/>
    <w:rsid w:val="00136265"/>
    <w:rsid w:val="00136409"/>
    <w:rsid w:val="0013665E"/>
    <w:rsid w:val="001373E6"/>
    <w:rsid w:val="00137D3C"/>
    <w:rsid w:val="00137DDA"/>
    <w:rsid w:val="00137FB2"/>
    <w:rsid w:val="00141147"/>
    <w:rsid w:val="00141151"/>
    <w:rsid w:val="0014244C"/>
    <w:rsid w:val="00143C82"/>
    <w:rsid w:val="00143D22"/>
    <w:rsid w:val="00144B71"/>
    <w:rsid w:val="00144CE5"/>
    <w:rsid w:val="00145825"/>
    <w:rsid w:val="00146585"/>
    <w:rsid w:val="001465D7"/>
    <w:rsid w:val="0014786A"/>
    <w:rsid w:val="0014789E"/>
    <w:rsid w:val="00150229"/>
    <w:rsid w:val="00150642"/>
    <w:rsid w:val="00150727"/>
    <w:rsid w:val="00150A4D"/>
    <w:rsid w:val="001520D6"/>
    <w:rsid w:val="001521D3"/>
    <w:rsid w:val="00152887"/>
    <w:rsid w:val="00153E85"/>
    <w:rsid w:val="00154288"/>
    <w:rsid w:val="0015655D"/>
    <w:rsid w:val="00156EA4"/>
    <w:rsid w:val="0015786E"/>
    <w:rsid w:val="00157B36"/>
    <w:rsid w:val="00160719"/>
    <w:rsid w:val="00160BA4"/>
    <w:rsid w:val="00160DBB"/>
    <w:rsid w:val="001611E0"/>
    <w:rsid w:val="00161393"/>
    <w:rsid w:val="001614C5"/>
    <w:rsid w:val="001614DC"/>
    <w:rsid w:val="0016207C"/>
    <w:rsid w:val="00162F2E"/>
    <w:rsid w:val="00164203"/>
    <w:rsid w:val="00165000"/>
    <w:rsid w:val="00165943"/>
    <w:rsid w:val="0016617E"/>
    <w:rsid w:val="001662BD"/>
    <w:rsid w:val="00167158"/>
    <w:rsid w:val="00167A87"/>
    <w:rsid w:val="00170239"/>
    <w:rsid w:val="001724BC"/>
    <w:rsid w:val="001725DF"/>
    <w:rsid w:val="00172C6B"/>
    <w:rsid w:val="0017383F"/>
    <w:rsid w:val="00175CB1"/>
    <w:rsid w:val="00176D6E"/>
    <w:rsid w:val="0017798F"/>
    <w:rsid w:val="001779B6"/>
    <w:rsid w:val="001779C8"/>
    <w:rsid w:val="001800BC"/>
    <w:rsid w:val="00181573"/>
    <w:rsid w:val="00181D28"/>
    <w:rsid w:val="00181E85"/>
    <w:rsid w:val="001824C7"/>
    <w:rsid w:val="00183AC8"/>
    <w:rsid w:val="00184D3D"/>
    <w:rsid w:val="00184ED1"/>
    <w:rsid w:val="001859F3"/>
    <w:rsid w:val="0018683C"/>
    <w:rsid w:val="0018737F"/>
    <w:rsid w:val="001908AE"/>
    <w:rsid w:val="00190AE1"/>
    <w:rsid w:val="001916D6"/>
    <w:rsid w:val="00191B0D"/>
    <w:rsid w:val="0019273E"/>
    <w:rsid w:val="00193488"/>
    <w:rsid w:val="001938A6"/>
    <w:rsid w:val="00194A4E"/>
    <w:rsid w:val="00194BEE"/>
    <w:rsid w:val="00194D89"/>
    <w:rsid w:val="00194E90"/>
    <w:rsid w:val="0019533C"/>
    <w:rsid w:val="00195EA0"/>
    <w:rsid w:val="00196F5D"/>
    <w:rsid w:val="00197585"/>
    <w:rsid w:val="00197B63"/>
    <w:rsid w:val="001A0032"/>
    <w:rsid w:val="001A0415"/>
    <w:rsid w:val="001A256A"/>
    <w:rsid w:val="001A2C65"/>
    <w:rsid w:val="001A342A"/>
    <w:rsid w:val="001A459F"/>
    <w:rsid w:val="001A45E2"/>
    <w:rsid w:val="001A4C7A"/>
    <w:rsid w:val="001A5D22"/>
    <w:rsid w:val="001A6D15"/>
    <w:rsid w:val="001A7123"/>
    <w:rsid w:val="001B0150"/>
    <w:rsid w:val="001B119B"/>
    <w:rsid w:val="001B1780"/>
    <w:rsid w:val="001B1997"/>
    <w:rsid w:val="001B20A0"/>
    <w:rsid w:val="001B2745"/>
    <w:rsid w:val="001B330B"/>
    <w:rsid w:val="001B33E3"/>
    <w:rsid w:val="001B3D3A"/>
    <w:rsid w:val="001B48B5"/>
    <w:rsid w:val="001B4C6A"/>
    <w:rsid w:val="001B6BDB"/>
    <w:rsid w:val="001B6D28"/>
    <w:rsid w:val="001B6FD0"/>
    <w:rsid w:val="001B76E5"/>
    <w:rsid w:val="001C003D"/>
    <w:rsid w:val="001C0949"/>
    <w:rsid w:val="001C0A44"/>
    <w:rsid w:val="001C21FA"/>
    <w:rsid w:val="001C2611"/>
    <w:rsid w:val="001C27C7"/>
    <w:rsid w:val="001C2E4F"/>
    <w:rsid w:val="001C2E61"/>
    <w:rsid w:val="001C37E8"/>
    <w:rsid w:val="001C4865"/>
    <w:rsid w:val="001C6037"/>
    <w:rsid w:val="001C6861"/>
    <w:rsid w:val="001C79DA"/>
    <w:rsid w:val="001D37D8"/>
    <w:rsid w:val="001D3E34"/>
    <w:rsid w:val="001D5130"/>
    <w:rsid w:val="001D5915"/>
    <w:rsid w:val="001D5D68"/>
    <w:rsid w:val="001D675F"/>
    <w:rsid w:val="001D694D"/>
    <w:rsid w:val="001D6A06"/>
    <w:rsid w:val="001E0879"/>
    <w:rsid w:val="001E0AC7"/>
    <w:rsid w:val="001E0C32"/>
    <w:rsid w:val="001E1442"/>
    <w:rsid w:val="001E2099"/>
    <w:rsid w:val="001E5E8D"/>
    <w:rsid w:val="001E71CC"/>
    <w:rsid w:val="001F0115"/>
    <w:rsid w:val="001F01FC"/>
    <w:rsid w:val="001F03AA"/>
    <w:rsid w:val="001F12C5"/>
    <w:rsid w:val="001F1D24"/>
    <w:rsid w:val="001F1FAB"/>
    <w:rsid w:val="001F203F"/>
    <w:rsid w:val="001F2401"/>
    <w:rsid w:val="001F61C8"/>
    <w:rsid w:val="001F78C6"/>
    <w:rsid w:val="001F7CB1"/>
    <w:rsid w:val="00200A33"/>
    <w:rsid w:val="002017B2"/>
    <w:rsid w:val="002024AB"/>
    <w:rsid w:val="002033CC"/>
    <w:rsid w:val="002035D5"/>
    <w:rsid w:val="002039A2"/>
    <w:rsid w:val="00204490"/>
    <w:rsid w:val="00206444"/>
    <w:rsid w:val="00210B18"/>
    <w:rsid w:val="002127A2"/>
    <w:rsid w:val="00213294"/>
    <w:rsid w:val="00213DD3"/>
    <w:rsid w:val="002158FA"/>
    <w:rsid w:val="00215B96"/>
    <w:rsid w:val="002163B5"/>
    <w:rsid w:val="002167BE"/>
    <w:rsid w:val="002169E5"/>
    <w:rsid w:val="00216B94"/>
    <w:rsid w:val="0021714A"/>
    <w:rsid w:val="00217244"/>
    <w:rsid w:val="00217C65"/>
    <w:rsid w:val="0022062D"/>
    <w:rsid w:val="00221B52"/>
    <w:rsid w:val="0022377A"/>
    <w:rsid w:val="0022459A"/>
    <w:rsid w:val="00224A4F"/>
    <w:rsid w:val="00226D2F"/>
    <w:rsid w:val="00226FFC"/>
    <w:rsid w:val="002276B3"/>
    <w:rsid w:val="00227D84"/>
    <w:rsid w:val="00227F2B"/>
    <w:rsid w:val="00230A85"/>
    <w:rsid w:val="00230F8F"/>
    <w:rsid w:val="00231938"/>
    <w:rsid w:val="0023194D"/>
    <w:rsid w:val="0023237D"/>
    <w:rsid w:val="002324EF"/>
    <w:rsid w:val="002339C6"/>
    <w:rsid w:val="00234947"/>
    <w:rsid w:val="00235306"/>
    <w:rsid w:val="0023619E"/>
    <w:rsid w:val="00236694"/>
    <w:rsid w:val="00236D07"/>
    <w:rsid w:val="0024183A"/>
    <w:rsid w:val="00241D40"/>
    <w:rsid w:val="002420DF"/>
    <w:rsid w:val="00242166"/>
    <w:rsid w:val="00242BAB"/>
    <w:rsid w:val="0024374B"/>
    <w:rsid w:val="002444D5"/>
    <w:rsid w:val="00245CF5"/>
    <w:rsid w:val="0024653B"/>
    <w:rsid w:val="00247496"/>
    <w:rsid w:val="00247CD4"/>
    <w:rsid w:val="00250430"/>
    <w:rsid w:val="00252324"/>
    <w:rsid w:val="00252CB5"/>
    <w:rsid w:val="00253600"/>
    <w:rsid w:val="00253A71"/>
    <w:rsid w:val="002542E7"/>
    <w:rsid w:val="00254999"/>
    <w:rsid w:val="002554F7"/>
    <w:rsid w:val="0025569F"/>
    <w:rsid w:val="00255D26"/>
    <w:rsid w:val="00256B5F"/>
    <w:rsid w:val="002607D8"/>
    <w:rsid w:val="00261671"/>
    <w:rsid w:val="00261AA8"/>
    <w:rsid w:val="00262217"/>
    <w:rsid w:val="00264008"/>
    <w:rsid w:val="0026402A"/>
    <w:rsid w:val="00264490"/>
    <w:rsid w:val="00266636"/>
    <w:rsid w:val="00267EE2"/>
    <w:rsid w:val="002721BD"/>
    <w:rsid w:val="00274502"/>
    <w:rsid w:val="002751ED"/>
    <w:rsid w:val="00275746"/>
    <w:rsid w:val="00275D14"/>
    <w:rsid w:val="00275FDF"/>
    <w:rsid w:val="002775E5"/>
    <w:rsid w:val="00283997"/>
    <w:rsid w:val="00283D21"/>
    <w:rsid w:val="0028430F"/>
    <w:rsid w:val="00284B82"/>
    <w:rsid w:val="00284DD0"/>
    <w:rsid w:val="002855B0"/>
    <w:rsid w:val="0028573C"/>
    <w:rsid w:val="00286A25"/>
    <w:rsid w:val="00286BF3"/>
    <w:rsid w:val="00287100"/>
    <w:rsid w:val="00290108"/>
    <w:rsid w:val="002909FB"/>
    <w:rsid w:val="00292A64"/>
    <w:rsid w:val="00292C58"/>
    <w:rsid w:val="00293114"/>
    <w:rsid w:val="00293711"/>
    <w:rsid w:val="00293E4A"/>
    <w:rsid w:val="002948EE"/>
    <w:rsid w:val="00296068"/>
    <w:rsid w:val="00296781"/>
    <w:rsid w:val="00296FF3"/>
    <w:rsid w:val="0029769B"/>
    <w:rsid w:val="002979BA"/>
    <w:rsid w:val="002A1433"/>
    <w:rsid w:val="002A192E"/>
    <w:rsid w:val="002A2278"/>
    <w:rsid w:val="002A25B1"/>
    <w:rsid w:val="002A2828"/>
    <w:rsid w:val="002A29DA"/>
    <w:rsid w:val="002A3032"/>
    <w:rsid w:val="002A6E35"/>
    <w:rsid w:val="002A79E5"/>
    <w:rsid w:val="002A7DCD"/>
    <w:rsid w:val="002A7DE5"/>
    <w:rsid w:val="002B01EA"/>
    <w:rsid w:val="002B044D"/>
    <w:rsid w:val="002B1F42"/>
    <w:rsid w:val="002B228F"/>
    <w:rsid w:val="002B2F7C"/>
    <w:rsid w:val="002B4DCD"/>
    <w:rsid w:val="002B59A3"/>
    <w:rsid w:val="002B6CD3"/>
    <w:rsid w:val="002B7157"/>
    <w:rsid w:val="002B7BD2"/>
    <w:rsid w:val="002C006F"/>
    <w:rsid w:val="002C0550"/>
    <w:rsid w:val="002C07FE"/>
    <w:rsid w:val="002C0CB4"/>
    <w:rsid w:val="002C13C2"/>
    <w:rsid w:val="002C13D8"/>
    <w:rsid w:val="002C1C85"/>
    <w:rsid w:val="002C32F8"/>
    <w:rsid w:val="002C3D85"/>
    <w:rsid w:val="002C3FD7"/>
    <w:rsid w:val="002C43DC"/>
    <w:rsid w:val="002C4C27"/>
    <w:rsid w:val="002C6E95"/>
    <w:rsid w:val="002C70C5"/>
    <w:rsid w:val="002C7110"/>
    <w:rsid w:val="002C74DD"/>
    <w:rsid w:val="002D1957"/>
    <w:rsid w:val="002D1AAC"/>
    <w:rsid w:val="002D3CC1"/>
    <w:rsid w:val="002D55BA"/>
    <w:rsid w:val="002D5D55"/>
    <w:rsid w:val="002D6BF1"/>
    <w:rsid w:val="002D7010"/>
    <w:rsid w:val="002D7720"/>
    <w:rsid w:val="002E0177"/>
    <w:rsid w:val="002E050C"/>
    <w:rsid w:val="002E0D84"/>
    <w:rsid w:val="002E1A60"/>
    <w:rsid w:val="002E232A"/>
    <w:rsid w:val="002E52CA"/>
    <w:rsid w:val="002E58F0"/>
    <w:rsid w:val="002E6D48"/>
    <w:rsid w:val="002F0540"/>
    <w:rsid w:val="002F05D2"/>
    <w:rsid w:val="002F20B5"/>
    <w:rsid w:val="002F23BA"/>
    <w:rsid w:val="002F73A3"/>
    <w:rsid w:val="002F75C9"/>
    <w:rsid w:val="00300916"/>
    <w:rsid w:val="0030109C"/>
    <w:rsid w:val="00301362"/>
    <w:rsid w:val="00301B0F"/>
    <w:rsid w:val="00301B63"/>
    <w:rsid w:val="00301BD0"/>
    <w:rsid w:val="00301F06"/>
    <w:rsid w:val="00302F52"/>
    <w:rsid w:val="003036F9"/>
    <w:rsid w:val="00303BA9"/>
    <w:rsid w:val="00303BFC"/>
    <w:rsid w:val="00303CAC"/>
    <w:rsid w:val="003066F7"/>
    <w:rsid w:val="00306C94"/>
    <w:rsid w:val="00307459"/>
    <w:rsid w:val="00307F20"/>
    <w:rsid w:val="00307F8E"/>
    <w:rsid w:val="00311BA6"/>
    <w:rsid w:val="00312C33"/>
    <w:rsid w:val="00313ED1"/>
    <w:rsid w:val="00314251"/>
    <w:rsid w:val="00314A07"/>
    <w:rsid w:val="00315549"/>
    <w:rsid w:val="00315593"/>
    <w:rsid w:val="00315E19"/>
    <w:rsid w:val="003170E3"/>
    <w:rsid w:val="003172C1"/>
    <w:rsid w:val="00317E71"/>
    <w:rsid w:val="0032038A"/>
    <w:rsid w:val="00320544"/>
    <w:rsid w:val="003215E2"/>
    <w:rsid w:val="003221FF"/>
    <w:rsid w:val="00322ECA"/>
    <w:rsid w:val="00323554"/>
    <w:rsid w:val="00323B84"/>
    <w:rsid w:val="0032478A"/>
    <w:rsid w:val="00324AF9"/>
    <w:rsid w:val="003251CF"/>
    <w:rsid w:val="00325E49"/>
    <w:rsid w:val="00325F22"/>
    <w:rsid w:val="003266C5"/>
    <w:rsid w:val="003269D9"/>
    <w:rsid w:val="00327104"/>
    <w:rsid w:val="00327761"/>
    <w:rsid w:val="00327D25"/>
    <w:rsid w:val="00327F1B"/>
    <w:rsid w:val="003300AD"/>
    <w:rsid w:val="00330977"/>
    <w:rsid w:val="00330FDD"/>
    <w:rsid w:val="00331133"/>
    <w:rsid w:val="00331A18"/>
    <w:rsid w:val="003333C1"/>
    <w:rsid w:val="0033430C"/>
    <w:rsid w:val="0033450D"/>
    <w:rsid w:val="0033460A"/>
    <w:rsid w:val="00335D4D"/>
    <w:rsid w:val="0033743E"/>
    <w:rsid w:val="00340FEC"/>
    <w:rsid w:val="00341319"/>
    <w:rsid w:val="00342633"/>
    <w:rsid w:val="003436ED"/>
    <w:rsid w:val="0034592C"/>
    <w:rsid w:val="00346840"/>
    <w:rsid w:val="00346CF0"/>
    <w:rsid w:val="0034772F"/>
    <w:rsid w:val="00347A6C"/>
    <w:rsid w:val="00347D84"/>
    <w:rsid w:val="00351F73"/>
    <w:rsid w:val="00352360"/>
    <w:rsid w:val="00353609"/>
    <w:rsid w:val="003541D8"/>
    <w:rsid w:val="00354247"/>
    <w:rsid w:val="00354B90"/>
    <w:rsid w:val="00355E23"/>
    <w:rsid w:val="00356259"/>
    <w:rsid w:val="00356B02"/>
    <w:rsid w:val="0036006C"/>
    <w:rsid w:val="00360579"/>
    <w:rsid w:val="00360F54"/>
    <w:rsid w:val="003610CB"/>
    <w:rsid w:val="00361F26"/>
    <w:rsid w:val="0036249C"/>
    <w:rsid w:val="003626F0"/>
    <w:rsid w:val="0036282A"/>
    <w:rsid w:val="00362C51"/>
    <w:rsid w:val="00363EE4"/>
    <w:rsid w:val="00366AE7"/>
    <w:rsid w:val="00370664"/>
    <w:rsid w:val="00370BCE"/>
    <w:rsid w:val="00371412"/>
    <w:rsid w:val="00371F68"/>
    <w:rsid w:val="00371F80"/>
    <w:rsid w:val="00372F8A"/>
    <w:rsid w:val="00373423"/>
    <w:rsid w:val="003738EE"/>
    <w:rsid w:val="0037451F"/>
    <w:rsid w:val="003745DB"/>
    <w:rsid w:val="003749AD"/>
    <w:rsid w:val="00375541"/>
    <w:rsid w:val="003756B5"/>
    <w:rsid w:val="00376AD0"/>
    <w:rsid w:val="003771A2"/>
    <w:rsid w:val="00377397"/>
    <w:rsid w:val="00377741"/>
    <w:rsid w:val="00377CCA"/>
    <w:rsid w:val="00380673"/>
    <w:rsid w:val="0038196E"/>
    <w:rsid w:val="00382CEE"/>
    <w:rsid w:val="00383F1F"/>
    <w:rsid w:val="00386515"/>
    <w:rsid w:val="003865EB"/>
    <w:rsid w:val="00390EEB"/>
    <w:rsid w:val="00390F7E"/>
    <w:rsid w:val="00392113"/>
    <w:rsid w:val="003939EC"/>
    <w:rsid w:val="0039450E"/>
    <w:rsid w:val="003946ED"/>
    <w:rsid w:val="0039639B"/>
    <w:rsid w:val="003A0393"/>
    <w:rsid w:val="003A05E0"/>
    <w:rsid w:val="003A10B3"/>
    <w:rsid w:val="003A1781"/>
    <w:rsid w:val="003A318E"/>
    <w:rsid w:val="003A3631"/>
    <w:rsid w:val="003A3C9B"/>
    <w:rsid w:val="003A3D6C"/>
    <w:rsid w:val="003A47F7"/>
    <w:rsid w:val="003A4DC8"/>
    <w:rsid w:val="003A515B"/>
    <w:rsid w:val="003A57B6"/>
    <w:rsid w:val="003A586F"/>
    <w:rsid w:val="003A5930"/>
    <w:rsid w:val="003A59B3"/>
    <w:rsid w:val="003A7D91"/>
    <w:rsid w:val="003B202C"/>
    <w:rsid w:val="003B2C00"/>
    <w:rsid w:val="003B312A"/>
    <w:rsid w:val="003B3893"/>
    <w:rsid w:val="003B3C36"/>
    <w:rsid w:val="003B4008"/>
    <w:rsid w:val="003B4355"/>
    <w:rsid w:val="003B4419"/>
    <w:rsid w:val="003B46B9"/>
    <w:rsid w:val="003B52A4"/>
    <w:rsid w:val="003B53DC"/>
    <w:rsid w:val="003B65A2"/>
    <w:rsid w:val="003B7027"/>
    <w:rsid w:val="003C16CB"/>
    <w:rsid w:val="003C2B2D"/>
    <w:rsid w:val="003C2E2F"/>
    <w:rsid w:val="003C2E4F"/>
    <w:rsid w:val="003C2E7D"/>
    <w:rsid w:val="003C31F3"/>
    <w:rsid w:val="003C3418"/>
    <w:rsid w:val="003C37AB"/>
    <w:rsid w:val="003C3B77"/>
    <w:rsid w:val="003C4A14"/>
    <w:rsid w:val="003C50B2"/>
    <w:rsid w:val="003C5259"/>
    <w:rsid w:val="003C599F"/>
    <w:rsid w:val="003C67CD"/>
    <w:rsid w:val="003C7580"/>
    <w:rsid w:val="003D0116"/>
    <w:rsid w:val="003D0557"/>
    <w:rsid w:val="003D05A1"/>
    <w:rsid w:val="003D1E08"/>
    <w:rsid w:val="003D2C5B"/>
    <w:rsid w:val="003D32A8"/>
    <w:rsid w:val="003D4274"/>
    <w:rsid w:val="003D4336"/>
    <w:rsid w:val="003D48A0"/>
    <w:rsid w:val="003D4B32"/>
    <w:rsid w:val="003D57A5"/>
    <w:rsid w:val="003D658E"/>
    <w:rsid w:val="003D6A0E"/>
    <w:rsid w:val="003D7A9D"/>
    <w:rsid w:val="003E00CB"/>
    <w:rsid w:val="003E06B5"/>
    <w:rsid w:val="003E0BAE"/>
    <w:rsid w:val="003E0D8C"/>
    <w:rsid w:val="003E0FCF"/>
    <w:rsid w:val="003E14B0"/>
    <w:rsid w:val="003E1B40"/>
    <w:rsid w:val="003E25C7"/>
    <w:rsid w:val="003E2860"/>
    <w:rsid w:val="003E32B6"/>
    <w:rsid w:val="003E3B0F"/>
    <w:rsid w:val="003E4818"/>
    <w:rsid w:val="003E4F34"/>
    <w:rsid w:val="003E655F"/>
    <w:rsid w:val="003E76E0"/>
    <w:rsid w:val="003F2FD6"/>
    <w:rsid w:val="003F3540"/>
    <w:rsid w:val="003F3614"/>
    <w:rsid w:val="003F47B1"/>
    <w:rsid w:val="003F6F5C"/>
    <w:rsid w:val="0040024C"/>
    <w:rsid w:val="0040103B"/>
    <w:rsid w:val="00402098"/>
    <w:rsid w:val="004027B8"/>
    <w:rsid w:val="00402A9C"/>
    <w:rsid w:val="00403186"/>
    <w:rsid w:val="0040362E"/>
    <w:rsid w:val="00403C69"/>
    <w:rsid w:val="00404132"/>
    <w:rsid w:val="0040583C"/>
    <w:rsid w:val="00405B26"/>
    <w:rsid w:val="00407019"/>
    <w:rsid w:val="004073E2"/>
    <w:rsid w:val="00407553"/>
    <w:rsid w:val="00410B72"/>
    <w:rsid w:val="004117B9"/>
    <w:rsid w:val="004118F3"/>
    <w:rsid w:val="00412197"/>
    <w:rsid w:val="004123A7"/>
    <w:rsid w:val="00412473"/>
    <w:rsid w:val="0041348F"/>
    <w:rsid w:val="0041493C"/>
    <w:rsid w:val="0041511A"/>
    <w:rsid w:val="00415783"/>
    <w:rsid w:val="00416377"/>
    <w:rsid w:val="00417878"/>
    <w:rsid w:val="004201F4"/>
    <w:rsid w:val="00420594"/>
    <w:rsid w:val="00420BC5"/>
    <w:rsid w:val="00420F02"/>
    <w:rsid w:val="0042118B"/>
    <w:rsid w:val="004224DF"/>
    <w:rsid w:val="004227E0"/>
    <w:rsid w:val="004241CB"/>
    <w:rsid w:val="004255CA"/>
    <w:rsid w:val="004304BA"/>
    <w:rsid w:val="00430678"/>
    <w:rsid w:val="00431391"/>
    <w:rsid w:val="00431499"/>
    <w:rsid w:val="0043159D"/>
    <w:rsid w:val="00431949"/>
    <w:rsid w:val="004319CE"/>
    <w:rsid w:val="0043205C"/>
    <w:rsid w:val="0043373D"/>
    <w:rsid w:val="00433FF5"/>
    <w:rsid w:val="00434B78"/>
    <w:rsid w:val="00434F15"/>
    <w:rsid w:val="004351CD"/>
    <w:rsid w:val="00435CA6"/>
    <w:rsid w:val="0043610E"/>
    <w:rsid w:val="004361E3"/>
    <w:rsid w:val="004379AB"/>
    <w:rsid w:val="00437C69"/>
    <w:rsid w:val="0044106F"/>
    <w:rsid w:val="0044112C"/>
    <w:rsid w:val="00441664"/>
    <w:rsid w:val="0044271F"/>
    <w:rsid w:val="0044325A"/>
    <w:rsid w:val="004439CF"/>
    <w:rsid w:val="0044498F"/>
    <w:rsid w:val="00445495"/>
    <w:rsid w:val="00446529"/>
    <w:rsid w:val="00447B3E"/>
    <w:rsid w:val="0045065C"/>
    <w:rsid w:val="00450DFC"/>
    <w:rsid w:val="004510F5"/>
    <w:rsid w:val="00451F94"/>
    <w:rsid w:val="00455A26"/>
    <w:rsid w:val="00455A83"/>
    <w:rsid w:val="004562DD"/>
    <w:rsid w:val="00456807"/>
    <w:rsid w:val="00456AF1"/>
    <w:rsid w:val="00460700"/>
    <w:rsid w:val="00460764"/>
    <w:rsid w:val="004614B1"/>
    <w:rsid w:val="00461F5D"/>
    <w:rsid w:val="0046311C"/>
    <w:rsid w:val="00463867"/>
    <w:rsid w:val="0046457D"/>
    <w:rsid w:val="004654D7"/>
    <w:rsid w:val="00465D9E"/>
    <w:rsid w:val="00466342"/>
    <w:rsid w:val="004665B4"/>
    <w:rsid w:val="004665F6"/>
    <w:rsid w:val="00467BCA"/>
    <w:rsid w:val="004704D8"/>
    <w:rsid w:val="0047125A"/>
    <w:rsid w:val="00472A1A"/>
    <w:rsid w:val="00472A33"/>
    <w:rsid w:val="00472B73"/>
    <w:rsid w:val="004731B9"/>
    <w:rsid w:val="0047331E"/>
    <w:rsid w:val="00473618"/>
    <w:rsid w:val="00473A04"/>
    <w:rsid w:val="00476B11"/>
    <w:rsid w:val="00476CFA"/>
    <w:rsid w:val="00477697"/>
    <w:rsid w:val="00477B50"/>
    <w:rsid w:val="00477EB9"/>
    <w:rsid w:val="00477EC4"/>
    <w:rsid w:val="00482919"/>
    <w:rsid w:val="00482B39"/>
    <w:rsid w:val="00484321"/>
    <w:rsid w:val="00484565"/>
    <w:rsid w:val="00485175"/>
    <w:rsid w:val="00486651"/>
    <w:rsid w:val="0048728A"/>
    <w:rsid w:val="00487C97"/>
    <w:rsid w:val="0049004F"/>
    <w:rsid w:val="00490754"/>
    <w:rsid w:val="00490760"/>
    <w:rsid w:val="00490CF4"/>
    <w:rsid w:val="00490F87"/>
    <w:rsid w:val="00491802"/>
    <w:rsid w:val="004927C9"/>
    <w:rsid w:val="00493DBE"/>
    <w:rsid w:val="00494A27"/>
    <w:rsid w:val="00495259"/>
    <w:rsid w:val="00495ADF"/>
    <w:rsid w:val="00496406"/>
    <w:rsid w:val="0049698C"/>
    <w:rsid w:val="00496FE5"/>
    <w:rsid w:val="00497FA7"/>
    <w:rsid w:val="004A05D9"/>
    <w:rsid w:val="004A0E2D"/>
    <w:rsid w:val="004A2C83"/>
    <w:rsid w:val="004A2F1F"/>
    <w:rsid w:val="004A3CCE"/>
    <w:rsid w:val="004A4083"/>
    <w:rsid w:val="004A540F"/>
    <w:rsid w:val="004A54DC"/>
    <w:rsid w:val="004A5814"/>
    <w:rsid w:val="004A5A02"/>
    <w:rsid w:val="004A690A"/>
    <w:rsid w:val="004A6926"/>
    <w:rsid w:val="004A6B9D"/>
    <w:rsid w:val="004A751A"/>
    <w:rsid w:val="004B2A6B"/>
    <w:rsid w:val="004B2AEE"/>
    <w:rsid w:val="004B3DD8"/>
    <w:rsid w:val="004B401C"/>
    <w:rsid w:val="004B462F"/>
    <w:rsid w:val="004B466A"/>
    <w:rsid w:val="004B4A9E"/>
    <w:rsid w:val="004B5395"/>
    <w:rsid w:val="004B56A4"/>
    <w:rsid w:val="004B5761"/>
    <w:rsid w:val="004B57E9"/>
    <w:rsid w:val="004B6CB4"/>
    <w:rsid w:val="004B6D03"/>
    <w:rsid w:val="004B71C6"/>
    <w:rsid w:val="004B7A65"/>
    <w:rsid w:val="004C04D6"/>
    <w:rsid w:val="004C0B5E"/>
    <w:rsid w:val="004C152A"/>
    <w:rsid w:val="004C279A"/>
    <w:rsid w:val="004C2995"/>
    <w:rsid w:val="004C2BBD"/>
    <w:rsid w:val="004C32F3"/>
    <w:rsid w:val="004C361F"/>
    <w:rsid w:val="004C36B9"/>
    <w:rsid w:val="004C3D11"/>
    <w:rsid w:val="004C469F"/>
    <w:rsid w:val="004C494A"/>
    <w:rsid w:val="004C64CF"/>
    <w:rsid w:val="004C6A66"/>
    <w:rsid w:val="004C7D71"/>
    <w:rsid w:val="004D0AE8"/>
    <w:rsid w:val="004D0D8E"/>
    <w:rsid w:val="004D10B7"/>
    <w:rsid w:val="004D17C7"/>
    <w:rsid w:val="004D273E"/>
    <w:rsid w:val="004D333D"/>
    <w:rsid w:val="004D4B14"/>
    <w:rsid w:val="004D4CE7"/>
    <w:rsid w:val="004D50D7"/>
    <w:rsid w:val="004D6367"/>
    <w:rsid w:val="004D698D"/>
    <w:rsid w:val="004D6F22"/>
    <w:rsid w:val="004D6F92"/>
    <w:rsid w:val="004D746F"/>
    <w:rsid w:val="004E01F1"/>
    <w:rsid w:val="004E02B9"/>
    <w:rsid w:val="004E1997"/>
    <w:rsid w:val="004E1A72"/>
    <w:rsid w:val="004E3C04"/>
    <w:rsid w:val="004E65C8"/>
    <w:rsid w:val="004F0583"/>
    <w:rsid w:val="004F0868"/>
    <w:rsid w:val="004F10D2"/>
    <w:rsid w:val="004F1560"/>
    <w:rsid w:val="004F2C62"/>
    <w:rsid w:val="004F3BE4"/>
    <w:rsid w:val="004F52D9"/>
    <w:rsid w:val="004F5423"/>
    <w:rsid w:val="004F669C"/>
    <w:rsid w:val="004F6B0D"/>
    <w:rsid w:val="004F741A"/>
    <w:rsid w:val="005006DB"/>
    <w:rsid w:val="0050256E"/>
    <w:rsid w:val="00503337"/>
    <w:rsid w:val="00503569"/>
    <w:rsid w:val="00503A40"/>
    <w:rsid w:val="00503B55"/>
    <w:rsid w:val="00505614"/>
    <w:rsid w:val="00505651"/>
    <w:rsid w:val="005060BE"/>
    <w:rsid w:val="00506322"/>
    <w:rsid w:val="00510016"/>
    <w:rsid w:val="0051042A"/>
    <w:rsid w:val="00511CB9"/>
    <w:rsid w:val="005140F8"/>
    <w:rsid w:val="005141BA"/>
    <w:rsid w:val="00514D6F"/>
    <w:rsid w:val="005156E1"/>
    <w:rsid w:val="00515CE0"/>
    <w:rsid w:val="005160C9"/>
    <w:rsid w:val="00516D7F"/>
    <w:rsid w:val="0051710A"/>
    <w:rsid w:val="005178A4"/>
    <w:rsid w:val="00517AA9"/>
    <w:rsid w:val="00517E0E"/>
    <w:rsid w:val="00520E98"/>
    <w:rsid w:val="0052185F"/>
    <w:rsid w:val="005219C4"/>
    <w:rsid w:val="00522340"/>
    <w:rsid w:val="00522F59"/>
    <w:rsid w:val="00523933"/>
    <w:rsid w:val="00524BC0"/>
    <w:rsid w:val="00525005"/>
    <w:rsid w:val="0052524F"/>
    <w:rsid w:val="00526B06"/>
    <w:rsid w:val="00530CCF"/>
    <w:rsid w:val="005313CA"/>
    <w:rsid w:val="005327B9"/>
    <w:rsid w:val="0053344C"/>
    <w:rsid w:val="00533C39"/>
    <w:rsid w:val="00533FCD"/>
    <w:rsid w:val="0053534A"/>
    <w:rsid w:val="00537003"/>
    <w:rsid w:val="005376E1"/>
    <w:rsid w:val="00537DF8"/>
    <w:rsid w:val="00540070"/>
    <w:rsid w:val="00540333"/>
    <w:rsid w:val="0054041C"/>
    <w:rsid w:val="005409DC"/>
    <w:rsid w:val="005415E1"/>
    <w:rsid w:val="00541B45"/>
    <w:rsid w:val="00541D14"/>
    <w:rsid w:val="005425AA"/>
    <w:rsid w:val="005429CB"/>
    <w:rsid w:val="00542C2E"/>
    <w:rsid w:val="00542F38"/>
    <w:rsid w:val="005435E8"/>
    <w:rsid w:val="00543764"/>
    <w:rsid w:val="005441B5"/>
    <w:rsid w:val="00544241"/>
    <w:rsid w:val="00544ABB"/>
    <w:rsid w:val="00545DC5"/>
    <w:rsid w:val="00546265"/>
    <w:rsid w:val="0054645B"/>
    <w:rsid w:val="005465F5"/>
    <w:rsid w:val="005470D8"/>
    <w:rsid w:val="00550D79"/>
    <w:rsid w:val="00550E2F"/>
    <w:rsid w:val="00551527"/>
    <w:rsid w:val="00552D67"/>
    <w:rsid w:val="005537E6"/>
    <w:rsid w:val="00555443"/>
    <w:rsid w:val="0055545C"/>
    <w:rsid w:val="00555CD6"/>
    <w:rsid w:val="00560251"/>
    <w:rsid w:val="005605FA"/>
    <w:rsid w:val="00561415"/>
    <w:rsid w:val="0056184A"/>
    <w:rsid w:val="0056218C"/>
    <w:rsid w:val="005627BB"/>
    <w:rsid w:val="00562879"/>
    <w:rsid w:val="005639F7"/>
    <w:rsid w:val="00563E70"/>
    <w:rsid w:val="0056555C"/>
    <w:rsid w:val="00565AE6"/>
    <w:rsid w:val="00565D44"/>
    <w:rsid w:val="005663BF"/>
    <w:rsid w:val="00566C2E"/>
    <w:rsid w:val="0056718E"/>
    <w:rsid w:val="0057063D"/>
    <w:rsid w:val="005708E3"/>
    <w:rsid w:val="00570D5A"/>
    <w:rsid w:val="00570F74"/>
    <w:rsid w:val="00571A52"/>
    <w:rsid w:val="00571B8D"/>
    <w:rsid w:val="00571D9B"/>
    <w:rsid w:val="0057303A"/>
    <w:rsid w:val="00573092"/>
    <w:rsid w:val="00573134"/>
    <w:rsid w:val="00573AF4"/>
    <w:rsid w:val="005740B8"/>
    <w:rsid w:val="0057688B"/>
    <w:rsid w:val="00576A4E"/>
    <w:rsid w:val="00577410"/>
    <w:rsid w:val="0057784A"/>
    <w:rsid w:val="00577BB7"/>
    <w:rsid w:val="00577E0A"/>
    <w:rsid w:val="005801B9"/>
    <w:rsid w:val="005810F4"/>
    <w:rsid w:val="00581355"/>
    <w:rsid w:val="00581AAE"/>
    <w:rsid w:val="00582367"/>
    <w:rsid w:val="0058282E"/>
    <w:rsid w:val="00582C15"/>
    <w:rsid w:val="00583A6E"/>
    <w:rsid w:val="00583C9C"/>
    <w:rsid w:val="0058481C"/>
    <w:rsid w:val="00584BDF"/>
    <w:rsid w:val="00584EA2"/>
    <w:rsid w:val="00586B7A"/>
    <w:rsid w:val="00586D99"/>
    <w:rsid w:val="005871AD"/>
    <w:rsid w:val="005904AC"/>
    <w:rsid w:val="00591434"/>
    <w:rsid w:val="00591471"/>
    <w:rsid w:val="0059195D"/>
    <w:rsid w:val="0059203E"/>
    <w:rsid w:val="00592359"/>
    <w:rsid w:val="0059288A"/>
    <w:rsid w:val="00593D77"/>
    <w:rsid w:val="005944DB"/>
    <w:rsid w:val="00594C7E"/>
    <w:rsid w:val="00594E05"/>
    <w:rsid w:val="00595C63"/>
    <w:rsid w:val="00595EC5"/>
    <w:rsid w:val="0059646B"/>
    <w:rsid w:val="005967DB"/>
    <w:rsid w:val="00596999"/>
    <w:rsid w:val="00596C95"/>
    <w:rsid w:val="00596CEC"/>
    <w:rsid w:val="00597355"/>
    <w:rsid w:val="00597598"/>
    <w:rsid w:val="005A3130"/>
    <w:rsid w:val="005A3C64"/>
    <w:rsid w:val="005A3C6E"/>
    <w:rsid w:val="005A3D99"/>
    <w:rsid w:val="005A5469"/>
    <w:rsid w:val="005A5D0D"/>
    <w:rsid w:val="005A72CD"/>
    <w:rsid w:val="005B06F0"/>
    <w:rsid w:val="005B0B90"/>
    <w:rsid w:val="005B1EE6"/>
    <w:rsid w:val="005B27C9"/>
    <w:rsid w:val="005B3B44"/>
    <w:rsid w:val="005B4072"/>
    <w:rsid w:val="005B5E50"/>
    <w:rsid w:val="005B67DA"/>
    <w:rsid w:val="005B72F4"/>
    <w:rsid w:val="005C01FC"/>
    <w:rsid w:val="005C1BAC"/>
    <w:rsid w:val="005C1FF3"/>
    <w:rsid w:val="005C1FF5"/>
    <w:rsid w:val="005C2E03"/>
    <w:rsid w:val="005C3D6F"/>
    <w:rsid w:val="005C4E24"/>
    <w:rsid w:val="005C5DB7"/>
    <w:rsid w:val="005C6D1C"/>
    <w:rsid w:val="005C6D7B"/>
    <w:rsid w:val="005C7788"/>
    <w:rsid w:val="005C7E89"/>
    <w:rsid w:val="005D1AAE"/>
    <w:rsid w:val="005D27DD"/>
    <w:rsid w:val="005D3BD7"/>
    <w:rsid w:val="005D4149"/>
    <w:rsid w:val="005D43C9"/>
    <w:rsid w:val="005D5146"/>
    <w:rsid w:val="005D5226"/>
    <w:rsid w:val="005D590F"/>
    <w:rsid w:val="005D5DE5"/>
    <w:rsid w:val="005D6CED"/>
    <w:rsid w:val="005D724E"/>
    <w:rsid w:val="005D79D7"/>
    <w:rsid w:val="005E029E"/>
    <w:rsid w:val="005E02FE"/>
    <w:rsid w:val="005E03A3"/>
    <w:rsid w:val="005E0C73"/>
    <w:rsid w:val="005E1BF4"/>
    <w:rsid w:val="005E2A97"/>
    <w:rsid w:val="005E4209"/>
    <w:rsid w:val="005E4E30"/>
    <w:rsid w:val="005E559C"/>
    <w:rsid w:val="005F00FB"/>
    <w:rsid w:val="005F1331"/>
    <w:rsid w:val="005F2BAF"/>
    <w:rsid w:val="005F34FC"/>
    <w:rsid w:val="005F4241"/>
    <w:rsid w:val="005F4EE0"/>
    <w:rsid w:val="005F5A09"/>
    <w:rsid w:val="005F62DD"/>
    <w:rsid w:val="005F680E"/>
    <w:rsid w:val="005F71B8"/>
    <w:rsid w:val="00600207"/>
    <w:rsid w:val="00600AEE"/>
    <w:rsid w:val="00600F4D"/>
    <w:rsid w:val="006017E6"/>
    <w:rsid w:val="00602498"/>
    <w:rsid w:val="00602857"/>
    <w:rsid w:val="006032A5"/>
    <w:rsid w:val="00603F48"/>
    <w:rsid w:val="00605B2A"/>
    <w:rsid w:val="00605D84"/>
    <w:rsid w:val="00607D9D"/>
    <w:rsid w:val="006105F5"/>
    <w:rsid w:val="0061088B"/>
    <w:rsid w:val="00610CF7"/>
    <w:rsid w:val="006114FF"/>
    <w:rsid w:val="006117DF"/>
    <w:rsid w:val="00611ED7"/>
    <w:rsid w:val="0061226E"/>
    <w:rsid w:val="0061264A"/>
    <w:rsid w:val="00613231"/>
    <w:rsid w:val="00613BB8"/>
    <w:rsid w:val="0061465D"/>
    <w:rsid w:val="00614CBB"/>
    <w:rsid w:val="006153A7"/>
    <w:rsid w:val="00616329"/>
    <w:rsid w:val="006170C2"/>
    <w:rsid w:val="00617AB8"/>
    <w:rsid w:val="00620674"/>
    <w:rsid w:val="00620B00"/>
    <w:rsid w:val="00620CC3"/>
    <w:rsid w:val="00621878"/>
    <w:rsid w:val="00621D80"/>
    <w:rsid w:val="00622B2F"/>
    <w:rsid w:val="006231AF"/>
    <w:rsid w:val="006245AC"/>
    <w:rsid w:val="00624EAB"/>
    <w:rsid w:val="00625671"/>
    <w:rsid w:val="0062717E"/>
    <w:rsid w:val="0063001B"/>
    <w:rsid w:val="00630390"/>
    <w:rsid w:val="006307AB"/>
    <w:rsid w:val="00631310"/>
    <w:rsid w:val="0063139F"/>
    <w:rsid w:val="00631E77"/>
    <w:rsid w:val="00632780"/>
    <w:rsid w:val="006342D1"/>
    <w:rsid w:val="0063430B"/>
    <w:rsid w:val="0063454B"/>
    <w:rsid w:val="00634CF9"/>
    <w:rsid w:val="0063538C"/>
    <w:rsid w:val="00636179"/>
    <w:rsid w:val="00637D53"/>
    <w:rsid w:val="00640092"/>
    <w:rsid w:val="006401A7"/>
    <w:rsid w:val="0064180A"/>
    <w:rsid w:val="00643242"/>
    <w:rsid w:val="00643BAB"/>
    <w:rsid w:val="0064416B"/>
    <w:rsid w:val="006454EA"/>
    <w:rsid w:val="00645586"/>
    <w:rsid w:val="0064575A"/>
    <w:rsid w:val="006464A6"/>
    <w:rsid w:val="00646CCC"/>
    <w:rsid w:val="0064716E"/>
    <w:rsid w:val="006478B6"/>
    <w:rsid w:val="00647CDF"/>
    <w:rsid w:val="00650622"/>
    <w:rsid w:val="00650752"/>
    <w:rsid w:val="006508F6"/>
    <w:rsid w:val="00650F25"/>
    <w:rsid w:val="0065179E"/>
    <w:rsid w:val="00651A65"/>
    <w:rsid w:val="0065202A"/>
    <w:rsid w:val="006522C0"/>
    <w:rsid w:val="006525AB"/>
    <w:rsid w:val="00652F82"/>
    <w:rsid w:val="006532B5"/>
    <w:rsid w:val="006610DA"/>
    <w:rsid w:val="00661A57"/>
    <w:rsid w:val="00661FFC"/>
    <w:rsid w:val="00662197"/>
    <w:rsid w:val="00662859"/>
    <w:rsid w:val="00663A9F"/>
    <w:rsid w:val="00663AE5"/>
    <w:rsid w:val="00665224"/>
    <w:rsid w:val="006663FB"/>
    <w:rsid w:val="00666CEF"/>
    <w:rsid w:val="00667BCE"/>
    <w:rsid w:val="00670BD3"/>
    <w:rsid w:val="006728B9"/>
    <w:rsid w:val="00672BB9"/>
    <w:rsid w:val="00672F79"/>
    <w:rsid w:val="006734BE"/>
    <w:rsid w:val="00673B8E"/>
    <w:rsid w:val="00674063"/>
    <w:rsid w:val="006740A3"/>
    <w:rsid w:val="00674FDF"/>
    <w:rsid w:val="00675C01"/>
    <w:rsid w:val="00676163"/>
    <w:rsid w:val="00676578"/>
    <w:rsid w:val="00680627"/>
    <w:rsid w:val="00680A79"/>
    <w:rsid w:val="00682394"/>
    <w:rsid w:val="00682933"/>
    <w:rsid w:val="006838C2"/>
    <w:rsid w:val="00683FF4"/>
    <w:rsid w:val="00684AE4"/>
    <w:rsid w:val="006862D4"/>
    <w:rsid w:val="00687446"/>
    <w:rsid w:val="00687A26"/>
    <w:rsid w:val="00687FFB"/>
    <w:rsid w:val="00690160"/>
    <w:rsid w:val="006906D3"/>
    <w:rsid w:val="0069159F"/>
    <w:rsid w:val="00691B7D"/>
    <w:rsid w:val="006920E6"/>
    <w:rsid w:val="0069271F"/>
    <w:rsid w:val="00692992"/>
    <w:rsid w:val="00692D24"/>
    <w:rsid w:val="00692D6B"/>
    <w:rsid w:val="00692D98"/>
    <w:rsid w:val="006937BE"/>
    <w:rsid w:val="00693C97"/>
    <w:rsid w:val="00694AAD"/>
    <w:rsid w:val="00695140"/>
    <w:rsid w:val="00697D7C"/>
    <w:rsid w:val="00697FCD"/>
    <w:rsid w:val="006A05A9"/>
    <w:rsid w:val="006A0633"/>
    <w:rsid w:val="006A09C0"/>
    <w:rsid w:val="006A0A51"/>
    <w:rsid w:val="006A1BC2"/>
    <w:rsid w:val="006A2502"/>
    <w:rsid w:val="006A26C0"/>
    <w:rsid w:val="006A28A8"/>
    <w:rsid w:val="006A3C8C"/>
    <w:rsid w:val="006A4166"/>
    <w:rsid w:val="006A49D2"/>
    <w:rsid w:val="006A786F"/>
    <w:rsid w:val="006A7BBD"/>
    <w:rsid w:val="006B0D21"/>
    <w:rsid w:val="006B3A1E"/>
    <w:rsid w:val="006B3F3B"/>
    <w:rsid w:val="006B4F70"/>
    <w:rsid w:val="006B504D"/>
    <w:rsid w:val="006B56C2"/>
    <w:rsid w:val="006B5A90"/>
    <w:rsid w:val="006B7506"/>
    <w:rsid w:val="006C0266"/>
    <w:rsid w:val="006C1569"/>
    <w:rsid w:val="006C286A"/>
    <w:rsid w:val="006C2DC5"/>
    <w:rsid w:val="006C2DE0"/>
    <w:rsid w:val="006C2E12"/>
    <w:rsid w:val="006C2EA3"/>
    <w:rsid w:val="006C5D8B"/>
    <w:rsid w:val="006C6AA2"/>
    <w:rsid w:val="006C73E9"/>
    <w:rsid w:val="006D0EEB"/>
    <w:rsid w:val="006D16B0"/>
    <w:rsid w:val="006D1C2A"/>
    <w:rsid w:val="006D1F62"/>
    <w:rsid w:val="006D3026"/>
    <w:rsid w:val="006D357F"/>
    <w:rsid w:val="006D3B4E"/>
    <w:rsid w:val="006D48C0"/>
    <w:rsid w:val="006D4AB2"/>
    <w:rsid w:val="006D4AC5"/>
    <w:rsid w:val="006D4CDA"/>
    <w:rsid w:val="006D56BA"/>
    <w:rsid w:val="006D5E89"/>
    <w:rsid w:val="006D792D"/>
    <w:rsid w:val="006E0568"/>
    <w:rsid w:val="006E0670"/>
    <w:rsid w:val="006E0AAB"/>
    <w:rsid w:val="006E14A3"/>
    <w:rsid w:val="006E17AF"/>
    <w:rsid w:val="006E2557"/>
    <w:rsid w:val="006E322D"/>
    <w:rsid w:val="006E3EF8"/>
    <w:rsid w:val="006E613B"/>
    <w:rsid w:val="006E61F0"/>
    <w:rsid w:val="006E7E77"/>
    <w:rsid w:val="006F0C0B"/>
    <w:rsid w:val="006F0CE9"/>
    <w:rsid w:val="006F187C"/>
    <w:rsid w:val="006F1BC1"/>
    <w:rsid w:val="006F38B6"/>
    <w:rsid w:val="006F3F37"/>
    <w:rsid w:val="006F4F59"/>
    <w:rsid w:val="006F5B40"/>
    <w:rsid w:val="00700CDB"/>
    <w:rsid w:val="0070105C"/>
    <w:rsid w:val="00701566"/>
    <w:rsid w:val="00701D56"/>
    <w:rsid w:val="00701E1F"/>
    <w:rsid w:val="00701EA4"/>
    <w:rsid w:val="00701F98"/>
    <w:rsid w:val="00702697"/>
    <w:rsid w:val="00702915"/>
    <w:rsid w:val="0070480C"/>
    <w:rsid w:val="007055E6"/>
    <w:rsid w:val="00706029"/>
    <w:rsid w:val="00706BEB"/>
    <w:rsid w:val="00706E95"/>
    <w:rsid w:val="0070729B"/>
    <w:rsid w:val="00707EEA"/>
    <w:rsid w:val="007102AD"/>
    <w:rsid w:val="00710832"/>
    <w:rsid w:val="00710C44"/>
    <w:rsid w:val="00710C7B"/>
    <w:rsid w:val="0071144A"/>
    <w:rsid w:val="007115C9"/>
    <w:rsid w:val="00711D58"/>
    <w:rsid w:val="00712DCE"/>
    <w:rsid w:val="00713134"/>
    <w:rsid w:val="00713F7C"/>
    <w:rsid w:val="007140B7"/>
    <w:rsid w:val="00714107"/>
    <w:rsid w:val="0071420B"/>
    <w:rsid w:val="007146E2"/>
    <w:rsid w:val="00714748"/>
    <w:rsid w:val="007152C7"/>
    <w:rsid w:val="00715A76"/>
    <w:rsid w:val="00716E2A"/>
    <w:rsid w:val="007174A7"/>
    <w:rsid w:val="007206E2"/>
    <w:rsid w:val="007207F8"/>
    <w:rsid w:val="0072111A"/>
    <w:rsid w:val="0072151E"/>
    <w:rsid w:val="00721EB4"/>
    <w:rsid w:val="007226A4"/>
    <w:rsid w:val="00722895"/>
    <w:rsid w:val="00723858"/>
    <w:rsid w:val="00723B51"/>
    <w:rsid w:val="00723EF1"/>
    <w:rsid w:val="0072425D"/>
    <w:rsid w:val="0072485C"/>
    <w:rsid w:val="00725230"/>
    <w:rsid w:val="00725517"/>
    <w:rsid w:val="00725CF4"/>
    <w:rsid w:val="00726816"/>
    <w:rsid w:val="00726F97"/>
    <w:rsid w:val="0072743F"/>
    <w:rsid w:val="00727A41"/>
    <w:rsid w:val="00727D70"/>
    <w:rsid w:val="00730291"/>
    <w:rsid w:val="00730362"/>
    <w:rsid w:val="00730614"/>
    <w:rsid w:val="00731338"/>
    <w:rsid w:val="007325D8"/>
    <w:rsid w:val="00732BDD"/>
    <w:rsid w:val="00733CC4"/>
    <w:rsid w:val="00734584"/>
    <w:rsid w:val="00734EBF"/>
    <w:rsid w:val="00735926"/>
    <w:rsid w:val="0074051A"/>
    <w:rsid w:val="007407F5"/>
    <w:rsid w:val="00740E04"/>
    <w:rsid w:val="00740E08"/>
    <w:rsid w:val="00741A21"/>
    <w:rsid w:val="00743087"/>
    <w:rsid w:val="00743F3C"/>
    <w:rsid w:val="00744F19"/>
    <w:rsid w:val="007460D0"/>
    <w:rsid w:val="007473DE"/>
    <w:rsid w:val="0074796E"/>
    <w:rsid w:val="0075070F"/>
    <w:rsid w:val="00750FA4"/>
    <w:rsid w:val="00752094"/>
    <w:rsid w:val="0075220E"/>
    <w:rsid w:val="00752D71"/>
    <w:rsid w:val="0075392B"/>
    <w:rsid w:val="00753BD2"/>
    <w:rsid w:val="00753EA5"/>
    <w:rsid w:val="00754F9A"/>
    <w:rsid w:val="00755D86"/>
    <w:rsid w:val="00755FF3"/>
    <w:rsid w:val="00756CD6"/>
    <w:rsid w:val="00756E80"/>
    <w:rsid w:val="00757251"/>
    <w:rsid w:val="00757D0F"/>
    <w:rsid w:val="007600A5"/>
    <w:rsid w:val="0076113D"/>
    <w:rsid w:val="007612D2"/>
    <w:rsid w:val="00761747"/>
    <w:rsid w:val="0076248D"/>
    <w:rsid w:val="007638BF"/>
    <w:rsid w:val="00763C8F"/>
    <w:rsid w:val="00764A08"/>
    <w:rsid w:val="0076504A"/>
    <w:rsid w:val="0076553F"/>
    <w:rsid w:val="00765BB0"/>
    <w:rsid w:val="00765F33"/>
    <w:rsid w:val="0076736D"/>
    <w:rsid w:val="00767681"/>
    <w:rsid w:val="00770441"/>
    <w:rsid w:val="00772EDD"/>
    <w:rsid w:val="00773F4C"/>
    <w:rsid w:val="00774C06"/>
    <w:rsid w:val="007756F9"/>
    <w:rsid w:val="00775866"/>
    <w:rsid w:val="00775E68"/>
    <w:rsid w:val="00776164"/>
    <w:rsid w:val="00780313"/>
    <w:rsid w:val="00780490"/>
    <w:rsid w:val="007811EC"/>
    <w:rsid w:val="0078213A"/>
    <w:rsid w:val="007825A5"/>
    <w:rsid w:val="00782F13"/>
    <w:rsid w:val="0078375E"/>
    <w:rsid w:val="007837A3"/>
    <w:rsid w:val="00783810"/>
    <w:rsid w:val="00783F45"/>
    <w:rsid w:val="00784592"/>
    <w:rsid w:val="00784695"/>
    <w:rsid w:val="00785274"/>
    <w:rsid w:val="00785C6C"/>
    <w:rsid w:val="00786A7F"/>
    <w:rsid w:val="00786ACF"/>
    <w:rsid w:val="00786D9D"/>
    <w:rsid w:val="00786F91"/>
    <w:rsid w:val="00787D86"/>
    <w:rsid w:val="007901AC"/>
    <w:rsid w:val="007904D1"/>
    <w:rsid w:val="00791257"/>
    <w:rsid w:val="00792283"/>
    <w:rsid w:val="00792ACD"/>
    <w:rsid w:val="007967F3"/>
    <w:rsid w:val="00796C12"/>
    <w:rsid w:val="00797515"/>
    <w:rsid w:val="0079758C"/>
    <w:rsid w:val="00797D67"/>
    <w:rsid w:val="007A0C18"/>
    <w:rsid w:val="007A11A6"/>
    <w:rsid w:val="007A1DF8"/>
    <w:rsid w:val="007A22E2"/>
    <w:rsid w:val="007A266A"/>
    <w:rsid w:val="007A28D2"/>
    <w:rsid w:val="007A2E6C"/>
    <w:rsid w:val="007A2EB8"/>
    <w:rsid w:val="007A37CF"/>
    <w:rsid w:val="007A389E"/>
    <w:rsid w:val="007A4646"/>
    <w:rsid w:val="007A4BB9"/>
    <w:rsid w:val="007A4E02"/>
    <w:rsid w:val="007A4F53"/>
    <w:rsid w:val="007A50DD"/>
    <w:rsid w:val="007A531B"/>
    <w:rsid w:val="007A6754"/>
    <w:rsid w:val="007A7E79"/>
    <w:rsid w:val="007A7EB0"/>
    <w:rsid w:val="007B0146"/>
    <w:rsid w:val="007B2184"/>
    <w:rsid w:val="007B27D1"/>
    <w:rsid w:val="007B2DFF"/>
    <w:rsid w:val="007B2E81"/>
    <w:rsid w:val="007B3285"/>
    <w:rsid w:val="007B32F4"/>
    <w:rsid w:val="007B4027"/>
    <w:rsid w:val="007B517D"/>
    <w:rsid w:val="007B6895"/>
    <w:rsid w:val="007B6FF9"/>
    <w:rsid w:val="007B7278"/>
    <w:rsid w:val="007C2508"/>
    <w:rsid w:val="007C3119"/>
    <w:rsid w:val="007C3657"/>
    <w:rsid w:val="007C57E7"/>
    <w:rsid w:val="007C5865"/>
    <w:rsid w:val="007C5FB3"/>
    <w:rsid w:val="007C7372"/>
    <w:rsid w:val="007C7443"/>
    <w:rsid w:val="007C7C17"/>
    <w:rsid w:val="007D1274"/>
    <w:rsid w:val="007D12D5"/>
    <w:rsid w:val="007D1C56"/>
    <w:rsid w:val="007D2B88"/>
    <w:rsid w:val="007D42BD"/>
    <w:rsid w:val="007D42D2"/>
    <w:rsid w:val="007D4CFB"/>
    <w:rsid w:val="007D5D30"/>
    <w:rsid w:val="007D6623"/>
    <w:rsid w:val="007D6B34"/>
    <w:rsid w:val="007D6E8E"/>
    <w:rsid w:val="007E283C"/>
    <w:rsid w:val="007E32D1"/>
    <w:rsid w:val="007E3D9D"/>
    <w:rsid w:val="007E548C"/>
    <w:rsid w:val="007E5AF1"/>
    <w:rsid w:val="007E5B36"/>
    <w:rsid w:val="007E602A"/>
    <w:rsid w:val="007E6418"/>
    <w:rsid w:val="007E6EB2"/>
    <w:rsid w:val="007E78F7"/>
    <w:rsid w:val="007E7A56"/>
    <w:rsid w:val="007F04A7"/>
    <w:rsid w:val="007F08CD"/>
    <w:rsid w:val="007F2DC9"/>
    <w:rsid w:val="007F2DE5"/>
    <w:rsid w:val="007F4003"/>
    <w:rsid w:val="007F5496"/>
    <w:rsid w:val="007F54C7"/>
    <w:rsid w:val="007F55A4"/>
    <w:rsid w:val="007F6109"/>
    <w:rsid w:val="007F64FF"/>
    <w:rsid w:val="007F66F2"/>
    <w:rsid w:val="007F6713"/>
    <w:rsid w:val="007F6FF0"/>
    <w:rsid w:val="007F7A60"/>
    <w:rsid w:val="007F7F66"/>
    <w:rsid w:val="00801673"/>
    <w:rsid w:val="008018FE"/>
    <w:rsid w:val="0080215B"/>
    <w:rsid w:val="00802998"/>
    <w:rsid w:val="00803677"/>
    <w:rsid w:val="00803ECD"/>
    <w:rsid w:val="008076BE"/>
    <w:rsid w:val="008101EF"/>
    <w:rsid w:val="00810389"/>
    <w:rsid w:val="00810683"/>
    <w:rsid w:val="0081100C"/>
    <w:rsid w:val="008126D7"/>
    <w:rsid w:val="008148AB"/>
    <w:rsid w:val="00814967"/>
    <w:rsid w:val="00814F85"/>
    <w:rsid w:val="00815593"/>
    <w:rsid w:val="008161E9"/>
    <w:rsid w:val="0081635F"/>
    <w:rsid w:val="008166F3"/>
    <w:rsid w:val="008200BA"/>
    <w:rsid w:val="008204E4"/>
    <w:rsid w:val="00821F41"/>
    <w:rsid w:val="008227C1"/>
    <w:rsid w:val="0082390C"/>
    <w:rsid w:val="008246AA"/>
    <w:rsid w:val="00824A4B"/>
    <w:rsid w:val="008253A8"/>
    <w:rsid w:val="008269CA"/>
    <w:rsid w:val="00826DA1"/>
    <w:rsid w:val="00826FB9"/>
    <w:rsid w:val="008278EE"/>
    <w:rsid w:val="00827B5C"/>
    <w:rsid w:val="00827C23"/>
    <w:rsid w:val="00830B49"/>
    <w:rsid w:val="00830C85"/>
    <w:rsid w:val="0083120E"/>
    <w:rsid w:val="00831769"/>
    <w:rsid w:val="00832ED4"/>
    <w:rsid w:val="00833F84"/>
    <w:rsid w:val="00835DCA"/>
    <w:rsid w:val="00836577"/>
    <w:rsid w:val="00836B34"/>
    <w:rsid w:val="00837537"/>
    <w:rsid w:val="00837AB9"/>
    <w:rsid w:val="008403FC"/>
    <w:rsid w:val="00840BA8"/>
    <w:rsid w:val="0084177A"/>
    <w:rsid w:val="00841935"/>
    <w:rsid w:val="00842382"/>
    <w:rsid w:val="0084262E"/>
    <w:rsid w:val="00843C3C"/>
    <w:rsid w:val="008465EE"/>
    <w:rsid w:val="00846860"/>
    <w:rsid w:val="008469E8"/>
    <w:rsid w:val="00846A17"/>
    <w:rsid w:val="00847115"/>
    <w:rsid w:val="008508F0"/>
    <w:rsid w:val="00850A39"/>
    <w:rsid w:val="008510AB"/>
    <w:rsid w:val="00851665"/>
    <w:rsid w:val="00852B80"/>
    <w:rsid w:val="008531F7"/>
    <w:rsid w:val="008535C9"/>
    <w:rsid w:val="008545ED"/>
    <w:rsid w:val="00854E16"/>
    <w:rsid w:val="00854EEA"/>
    <w:rsid w:val="008553AC"/>
    <w:rsid w:val="0085670E"/>
    <w:rsid w:val="0085732B"/>
    <w:rsid w:val="008576FE"/>
    <w:rsid w:val="0085785A"/>
    <w:rsid w:val="00857EC8"/>
    <w:rsid w:val="0086174B"/>
    <w:rsid w:val="0086352C"/>
    <w:rsid w:val="00863A3C"/>
    <w:rsid w:val="008653A4"/>
    <w:rsid w:val="00865B55"/>
    <w:rsid w:val="0086781E"/>
    <w:rsid w:val="008678C1"/>
    <w:rsid w:val="0087051D"/>
    <w:rsid w:val="008705BC"/>
    <w:rsid w:val="00871292"/>
    <w:rsid w:val="0087179B"/>
    <w:rsid w:val="00871A09"/>
    <w:rsid w:val="008720BA"/>
    <w:rsid w:val="00873573"/>
    <w:rsid w:val="00873678"/>
    <w:rsid w:val="00873F4B"/>
    <w:rsid w:val="008751EF"/>
    <w:rsid w:val="00877714"/>
    <w:rsid w:val="008826E1"/>
    <w:rsid w:val="00882C84"/>
    <w:rsid w:val="00883205"/>
    <w:rsid w:val="00883E37"/>
    <w:rsid w:val="00885B32"/>
    <w:rsid w:val="008870EA"/>
    <w:rsid w:val="00887917"/>
    <w:rsid w:val="00890244"/>
    <w:rsid w:val="008921FC"/>
    <w:rsid w:val="008933BC"/>
    <w:rsid w:val="00893C9D"/>
    <w:rsid w:val="00894397"/>
    <w:rsid w:val="008952DD"/>
    <w:rsid w:val="00895A4F"/>
    <w:rsid w:val="00895BEC"/>
    <w:rsid w:val="00896647"/>
    <w:rsid w:val="00896CF4"/>
    <w:rsid w:val="00896EBF"/>
    <w:rsid w:val="00896FB5"/>
    <w:rsid w:val="00897882"/>
    <w:rsid w:val="00897A35"/>
    <w:rsid w:val="008A0C71"/>
    <w:rsid w:val="008A337B"/>
    <w:rsid w:val="008A37C7"/>
    <w:rsid w:val="008A5B5D"/>
    <w:rsid w:val="008A6ADB"/>
    <w:rsid w:val="008A6AFD"/>
    <w:rsid w:val="008A74EC"/>
    <w:rsid w:val="008B065B"/>
    <w:rsid w:val="008B192A"/>
    <w:rsid w:val="008B1B98"/>
    <w:rsid w:val="008B1D2C"/>
    <w:rsid w:val="008B3D4E"/>
    <w:rsid w:val="008B54C7"/>
    <w:rsid w:val="008B5767"/>
    <w:rsid w:val="008B58E4"/>
    <w:rsid w:val="008B5F9A"/>
    <w:rsid w:val="008B6FFD"/>
    <w:rsid w:val="008B7AC4"/>
    <w:rsid w:val="008C0A97"/>
    <w:rsid w:val="008C119D"/>
    <w:rsid w:val="008C23EE"/>
    <w:rsid w:val="008C311F"/>
    <w:rsid w:val="008C44BD"/>
    <w:rsid w:val="008C5268"/>
    <w:rsid w:val="008C5BB1"/>
    <w:rsid w:val="008C656D"/>
    <w:rsid w:val="008C7012"/>
    <w:rsid w:val="008C76D4"/>
    <w:rsid w:val="008C799B"/>
    <w:rsid w:val="008D34D8"/>
    <w:rsid w:val="008D4259"/>
    <w:rsid w:val="008D4ADC"/>
    <w:rsid w:val="008D557B"/>
    <w:rsid w:val="008D5EB9"/>
    <w:rsid w:val="008D5EEA"/>
    <w:rsid w:val="008D6B40"/>
    <w:rsid w:val="008E0DB2"/>
    <w:rsid w:val="008E177E"/>
    <w:rsid w:val="008E2177"/>
    <w:rsid w:val="008E27A1"/>
    <w:rsid w:val="008E3095"/>
    <w:rsid w:val="008E3BA7"/>
    <w:rsid w:val="008E6339"/>
    <w:rsid w:val="008E7246"/>
    <w:rsid w:val="008F00B9"/>
    <w:rsid w:val="008F0C2F"/>
    <w:rsid w:val="008F10DE"/>
    <w:rsid w:val="008F2533"/>
    <w:rsid w:val="008F2E25"/>
    <w:rsid w:val="008F511E"/>
    <w:rsid w:val="008F5800"/>
    <w:rsid w:val="008F5B52"/>
    <w:rsid w:val="008F5BCC"/>
    <w:rsid w:val="008F718C"/>
    <w:rsid w:val="008F792C"/>
    <w:rsid w:val="008F7C66"/>
    <w:rsid w:val="00900E5A"/>
    <w:rsid w:val="009034CB"/>
    <w:rsid w:val="00904BAC"/>
    <w:rsid w:val="009055A2"/>
    <w:rsid w:val="0090601C"/>
    <w:rsid w:val="0090650D"/>
    <w:rsid w:val="009102E6"/>
    <w:rsid w:val="00910DD5"/>
    <w:rsid w:val="00911EAA"/>
    <w:rsid w:val="0091232D"/>
    <w:rsid w:val="00913931"/>
    <w:rsid w:val="00913C6B"/>
    <w:rsid w:val="00914C4E"/>
    <w:rsid w:val="00914CF0"/>
    <w:rsid w:val="00914F01"/>
    <w:rsid w:val="00916297"/>
    <w:rsid w:val="00916EDA"/>
    <w:rsid w:val="009172A5"/>
    <w:rsid w:val="0092166F"/>
    <w:rsid w:val="00921F4D"/>
    <w:rsid w:val="00922CBE"/>
    <w:rsid w:val="0092318C"/>
    <w:rsid w:val="00923B74"/>
    <w:rsid w:val="00923DFE"/>
    <w:rsid w:val="00924D5A"/>
    <w:rsid w:val="0092562B"/>
    <w:rsid w:val="0092571E"/>
    <w:rsid w:val="00925C9F"/>
    <w:rsid w:val="0092694F"/>
    <w:rsid w:val="00931306"/>
    <w:rsid w:val="00931529"/>
    <w:rsid w:val="0093413C"/>
    <w:rsid w:val="00935E32"/>
    <w:rsid w:val="009363BA"/>
    <w:rsid w:val="00936891"/>
    <w:rsid w:val="00936F37"/>
    <w:rsid w:val="00940675"/>
    <w:rsid w:val="00941153"/>
    <w:rsid w:val="00942F76"/>
    <w:rsid w:val="00944836"/>
    <w:rsid w:val="00944F2C"/>
    <w:rsid w:val="00945402"/>
    <w:rsid w:val="009462CF"/>
    <w:rsid w:val="00947125"/>
    <w:rsid w:val="00947418"/>
    <w:rsid w:val="00951052"/>
    <w:rsid w:val="009519A5"/>
    <w:rsid w:val="00951A07"/>
    <w:rsid w:val="00951C62"/>
    <w:rsid w:val="00951C6A"/>
    <w:rsid w:val="0095254B"/>
    <w:rsid w:val="00954AAF"/>
    <w:rsid w:val="00954C92"/>
    <w:rsid w:val="00954CDF"/>
    <w:rsid w:val="00955287"/>
    <w:rsid w:val="00955E20"/>
    <w:rsid w:val="0095700F"/>
    <w:rsid w:val="009578AD"/>
    <w:rsid w:val="00960077"/>
    <w:rsid w:val="009602A4"/>
    <w:rsid w:val="00960386"/>
    <w:rsid w:val="0096177C"/>
    <w:rsid w:val="009624D7"/>
    <w:rsid w:val="0096283A"/>
    <w:rsid w:val="009632A1"/>
    <w:rsid w:val="00965DC1"/>
    <w:rsid w:val="009660E0"/>
    <w:rsid w:val="009665BB"/>
    <w:rsid w:val="009672CF"/>
    <w:rsid w:val="00967E24"/>
    <w:rsid w:val="0097057E"/>
    <w:rsid w:val="00970AAB"/>
    <w:rsid w:val="009718E3"/>
    <w:rsid w:val="0097235C"/>
    <w:rsid w:val="009728FB"/>
    <w:rsid w:val="00973154"/>
    <w:rsid w:val="00973B14"/>
    <w:rsid w:val="00975B13"/>
    <w:rsid w:val="00976495"/>
    <w:rsid w:val="00976D43"/>
    <w:rsid w:val="009770DD"/>
    <w:rsid w:val="0097713F"/>
    <w:rsid w:val="0098043C"/>
    <w:rsid w:val="00980529"/>
    <w:rsid w:val="00980D63"/>
    <w:rsid w:val="0098296F"/>
    <w:rsid w:val="00983A9B"/>
    <w:rsid w:val="00983DE6"/>
    <w:rsid w:val="00984187"/>
    <w:rsid w:val="009851FB"/>
    <w:rsid w:val="00986133"/>
    <w:rsid w:val="00986240"/>
    <w:rsid w:val="00987243"/>
    <w:rsid w:val="00990591"/>
    <w:rsid w:val="0099088B"/>
    <w:rsid w:val="00991149"/>
    <w:rsid w:val="0099141C"/>
    <w:rsid w:val="0099214E"/>
    <w:rsid w:val="00992DB9"/>
    <w:rsid w:val="00992DC2"/>
    <w:rsid w:val="00992DF6"/>
    <w:rsid w:val="0099316A"/>
    <w:rsid w:val="0099375D"/>
    <w:rsid w:val="0099378F"/>
    <w:rsid w:val="00995410"/>
    <w:rsid w:val="00995ECA"/>
    <w:rsid w:val="00996B89"/>
    <w:rsid w:val="00997149"/>
    <w:rsid w:val="009978B5"/>
    <w:rsid w:val="00997CAF"/>
    <w:rsid w:val="009A0381"/>
    <w:rsid w:val="009A0479"/>
    <w:rsid w:val="009A16F2"/>
    <w:rsid w:val="009A1C52"/>
    <w:rsid w:val="009A2241"/>
    <w:rsid w:val="009A2ECA"/>
    <w:rsid w:val="009A432B"/>
    <w:rsid w:val="009A4A9B"/>
    <w:rsid w:val="009A4F97"/>
    <w:rsid w:val="009A63B2"/>
    <w:rsid w:val="009A6496"/>
    <w:rsid w:val="009A6923"/>
    <w:rsid w:val="009A69F3"/>
    <w:rsid w:val="009A71E1"/>
    <w:rsid w:val="009A75D9"/>
    <w:rsid w:val="009A7AA5"/>
    <w:rsid w:val="009B14A7"/>
    <w:rsid w:val="009B19E9"/>
    <w:rsid w:val="009B1C62"/>
    <w:rsid w:val="009B1ED7"/>
    <w:rsid w:val="009B2B35"/>
    <w:rsid w:val="009B4173"/>
    <w:rsid w:val="009B72B9"/>
    <w:rsid w:val="009C1139"/>
    <w:rsid w:val="009C16F6"/>
    <w:rsid w:val="009C1AEF"/>
    <w:rsid w:val="009C1CDD"/>
    <w:rsid w:val="009C1DA7"/>
    <w:rsid w:val="009C228F"/>
    <w:rsid w:val="009C35A6"/>
    <w:rsid w:val="009C35C1"/>
    <w:rsid w:val="009C36B1"/>
    <w:rsid w:val="009C391A"/>
    <w:rsid w:val="009C3F6E"/>
    <w:rsid w:val="009C445D"/>
    <w:rsid w:val="009C4610"/>
    <w:rsid w:val="009C5243"/>
    <w:rsid w:val="009C5377"/>
    <w:rsid w:val="009C5970"/>
    <w:rsid w:val="009C631F"/>
    <w:rsid w:val="009C73D0"/>
    <w:rsid w:val="009D04BD"/>
    <w:rsid w:val="009D0746"/>
    <w:rsid w:val="009D0E64"/>
    <w:rsid w:val="009D11A5"/>
    <w:rsid w:val="009D131F"/>
    <w:rsid w:val="009D1E71"/>
    <w:rsid w:val="009D21AD"/>
    <w:rsid w:val="009D24C1"/>
    <w:rsid w:val="009D3548"/>
    <w:rsid w:val="009D4035"/>
    <w:rsid w:val="009D4079"/>
    <w:rsid w:val="009D4C0D"/>
    <w:rsid w:val="009D544F"/>
    <w:rsid w:val="009D5CB6"/>
    <w:rsid w:val="009D5E6D"/>
    <w:rsid w:val="009D6D68"/>
    <w:rsid w:val="009D6E55"/>
    <w:rsid w:val="009D76EB"/>
    <w:rsid w:val="009E0989"/>
    <w:rsid w:val="009E1A3A"/>
    <w:rsid w:val="009E26C6"/>
    <w:rsid w:val="009E3742"/>
    <w:rsid w:val="009E429B"/>
    <w:rsid w:val="009E4425"/>
    <w:rsid w:val="009E45C4"/>
    <w:rsid w:val="009E4BCC"/>
    <w:rsid w:val="009E4ED5"/>
    <w:rsid w:val="009E6A43"/>
    <w:rsid w:val="009F0535"/>
    <w:rsid w:val="009F0EBD"/>
    <w:rsid w:val="009F111B"/>
    <w:rsid w:val="009F1CA7"/>
    <w:rsid w:val="009F22E3"/>
    <w:rsid w:val="009F2F32"/>
    <w:rsid w:val="009F33B9"/>
    <w:rsid w:val="009F3768"/>
    <w:rsid w:val="009F6543"/>
    <w:rsid w:val="009F7B40"/>
    <w:rsid w:val="00A0007D"/>
    <w:rsid w:val="00A00B16"/>
    <w:rsid w:val="00A02498"/>
    <w:rsid w:val="00A02763"/>
    <w:rsid w:val="00A027A6"/>
    <w:rsid w:val="00A02A78"/>
    <w:rsid w:val="00A02C19"/>
    <w:rsid w:val="00A030E1"/>
    <w:rsid w:val="00A04A55"/>
    <w:rsid w:val="00A05A42"/>
    <w:rsid w:val="00A05E2B"/>
    <w:rsid w:val="00A0614A"/>
    <w:rsid w:val="00A062D8"/>
    <w:rsid w:val="00A06574"/>
    <w:rsid w:val="00A06FD5"/>
    <w:rsid w:val="00A07652"/>
    <w:rsid w:val="00A07AA4"/>
    <w:rsid w:val="00A10823"/>
    <w:rsid w:val="00A10DCE"/>
    <w:rsid w:val="00A11377"/>
    <w:rsid w:val="00A1175C"/>
    <w:rsid w:val="00A11785"/>
    <w:rsid w:val="00A1182B"/>
    <w:rsid w:val="00A11D00"/>
    <w:rsid w:val="00A11F0D"/>
    <w:rsid w:val="00A123A8"/>
    <w:rsid w:val="00A13443"/>
    <w:rsid w:val="00A1389D"/>
    <w:rsid w:val="00A167D3"/>
    <w:rsid w:val="00A179CF"/>
    <w:rsid w:val="00A2228E"/>
    <w:rsid w:val="00A222CA"/>
    <w:rsid w:val="00A22956"/>
    <w:rsid w:val="00A23CC9"/>
    <w:rsid w:val="00A23D67"/>
    <w:rsid w:val="00A24A60"/>
    <w:rsid w:val="00A24AC9"/>
    <w:rsid w:val="00A26A1A"/>
    <w:rsid w:val="00A307D7"/>
    <w:rsid w:val="00A31055"/>
    <w:rsid w:val="00A3113E"/>
    <w:rsid w:val="00A31B31"/>
    <w:rsid w:val="00A3423F"/>
    <w:rsid w:val="00A346BE"/>
    <w:rsid w:val="00A3552C"/>
    <w:rsid w:val="00A35D87"/>
    <w:rsid w:val="00A35E28"/>
    <w:rsid w:val="00A36DC2"/>
    <w:rsid w:val="00A405C2"/>
    <w:rsid w:val="00A40922"/>
    <w:rsid w:val="00A40A20"/>
    <w:rsid w:val="00A41756"/>
    <w:rsid w:val="00A4249D"/>
    <w:rsid w:val="00A43498"/>
    <w:rsid w:val="00A451C3"/>
    <w:rsid w:val="00A4594D"/>
    <w:rsid w:val="00A45E46"/>
    <w:rsid w:val="00A464EC"/>
    <w:rsid w:val="00A5075C"/>
    <w:rsid w:val="00A50AF8"/>
    <w:rsid w:val="00A50C64"/>
    <w:rsid w:val="00A53041"/>
    <w:rsid w:val="00A5334F"/>
    <w:rsid w:val="00A540FB"/>
    <w:rsid w:val="00A545F0"/>
    <w:rsid w:val="00A55063"/>
    <w:rsid w:val="00A55B08"/>
    <w:rsid w:val="00A56EF7"/>
    <w:rsid w:val="00A5710D"/>
    <w:rsid w:val="00A574FB"/>
    <w:rsid w:val="00A57C6C"/>
    <w:rsid w:val="00A57DE6"/>
    <w:rsid w:val="00A6112B"/>
    <w:rsid w:val="00A61789"/>
    <w:rsid w:val="00A6179A"/>
    <w:rsid w:val="00A617A0"/>
    <w:rsid w:val="00A63AC1"/>
    <w:rsid w:val="00A63B99"/>
    <w:rsid w:val="00A6455E"/>
    <w:rsid w:val="00A647E1"/>
    <w:rsid w:val="00A65147"/>
    <w:rsid w:val="00A658D0"/>
    <w:rsid w:val="00A65914"/>
    <w:rsid w:val="00A66332"/>
    <w:rsid w:val="00A6708E"/>
    <w:rsid w:val="00A670C6"/>
    <w:rsid w:val="00A677BA"/>
    <w:rsid w:val="00A67A87"/>
    <w:rsid w:val="00A67D9E"/>
    <w:rsid w:val="00A70EB8"/>
    <w:rsid w:val="00A722B3"/>
    <w:rsid w:val="00A7291F"/>
    <w:rsid w:val="00A73307"/>
    <w:rsid w:val="00A73CC0"/>
    <w:rsid w:val="00A7687D"/>
    <w:rsid w:val="00A76925"/>
    <w:rsid w:val="00A76CCB"/>
    <w:rsid w:val="00A77755"/>
    <w:rsid w:val="00A77D06"/>
    <w:rsid w:val="00A809CA"/>
    <w:rsid w:val="00A80E05"/>
    <w:rsid w:val="00A80E61"/>
    <w:rsid w:val="00A816D9"/>
    <w:rsid w:val="00A81F96"/>
    <w:rsid w:val="00A82922"/>
    <w:rsid w:val="00A82A0B"/>
    <w:rsid w:val="00A85601"/>
    <w:rsid w:val="00A857E0"/>
    <w:rsid w:val="00A86A1D"/>
    <w:rsid w:val="00A86AC0"/>
    <w:rsid w:val="00A87189"/>
    <w:rsid w:val="00A87210"/>
    <w:rsid w:val="00A8795D"/>
    <w:rsid w:val="00A903A0"/>
    <w:rsid w:val="00A914B1"/>
    <w:rsid w:val="00A91615"/>
    <w:rsid w:val="00A935FD"/>
    <w:rsid w:val="00A93C67"/>
    <w:rsid w:val="00A942DE"/>
    <w:rsid w:val="00A94961"/>
    <w:rsid w:val="00A96728"/>
    <w:rsid w:val="00A96822"/>
    <w:rsid w:val="00A96CA6"/>
    <w:rsid w:val="00A9703F"/>
    <w:rsid w:val="00A9726F"/>
    <w:rsid w:val="00A97655"/>
    <w:rsid w:val="00A976B0"/>
    <w:rsid w:val="00AA2DE1"/>
    <w:rsid w:val="00AA4BBA"/>
    <w:rsid w:val="00AA6AAC"/>
    <w:rsid w:val="00AA7158"/>
    <w:rsid w:val="00AA71BB"/>
    <w:rsid w:val="00AA7354"/>
    <w:rsid w:val="00AA7568"/>
    <w:rsid w:val="00AA7AA1"/>
    <w:rsid w:val="00AB0C6B"/>
    <w:rsid w:val="00AB1407"/>
    <w:rsid w:val="00AB3324"/>
    <w:rsid w:val="00AB3AB8"/>
    <w:rsid w:val="00AB488C"/>
    <w:rsid w:val="00AB5381"/>
    <w:rsid w:val="00AB7012"/>
    <w:rsid w:val="00AC05DA"/>
    <w:rsid w:val="00AC14DD"/>
    <w:rsid w:val="00AC1997"/>
    <w:rsid w:val="00AC1C60"/>
    <w:rsid w:val="00AC2161"/>
    <w:rsid w:val="00AC2445"/>
    <w:rsid w:val="00AC2AB5"/>
    <w:rsid w:val="00AC35C9"/>
    <w:rsid w:val="00AC3737"/>
    <w:rsid w:val="00AC4C98"/>
    <w:rsid w:val="00AC6D18"/>
    <w:rsid w:val="00AC71CA"/>
    <w:rsid w:val="00AC783D"/>
    <w:rsid w:val="00AD0945"/>
    <w:rsid w:val="00AD17D4"/>
    <w:rsid w:val="00AD4127"/>
    <w:rsid w:val="00AD4A26"/>
    <w:rsid w:val="00AD5473"/>
    <w:rsid w:val="00AD5A1A"/>
    <w:rsid w:val="00AD71F5"/>
    <w:rsid w:val="00AD7918"/>
    <w:rsid w:val="00AE0603"/>
    <w:rsid w:val="00AE0982"/>
    <w:rsid w:val="00AE0BFC"/>
    <w:rsid w:val="00AE0E92"/>
    <w:rsid w:val="00AE126C"/>
    <w:rsid w:val="00AE1DDE"/>
    <w:rsid w:val="00AE389E"/>
    <w:rsid w:val="00AE3BCF"/>
    <w:rsid w:val="00AE529B"/>
    <w:rsid w:val="00AE5BB0"/>
    <w:rsid w:val="00AE5C20"/>
    <w:rsid w:val="00AE779C"/>
    <w:rsid w:val="00AF0244"/>
    <w:rsid w:val="00AF0A70"/>
    <w:rsid w:val="00AF16A4"/>
    <w:rsid w:val="00AF188C"/>
    <w:rsid w:val="00AF3E70"/>
    <w:rsid w:val="00AF440A"/>
    <w:rsid w:val="00AF44B8"/>
    <w:rsid w:val="00AF477C"/>
    <w:rsid w:val="00AF6034"/>
    <w:rsid w:val="00AF63FB"/>
    <w:rsid w:val="00AF68FB"/>
    <w:rsid w:val="00AF76B1"/>
    <w:rsid w:val="00AF77E5"/>
    <w:rsid w:val="00B003DB"/>
    <w:rsid w:val="00B00BE9"/>
    <w:rsid w:val="00B00D5F"/>
    <w:rsid w:val="00B01007"/>
    <w:rsid w:val="00B01774"/>
    <w:rsid w:val="00B02106"/>
    <w:rsid w:val="00B02B31"/>
    <w:rsid w:val="00B03871"/>
    <w:rsid w:val="00B041DF"/>
    <w:rsid w:val="00B04493"/>
    <w:rsid w:val="00B05A8C"/>
    <w:rsid w:val="00B061C3"/>
    <w:rsid w:val="00B0630F"/>
    <w:rsid w:val="00B07045"/>
    <w:rsid w:val="00B07119"/>
    <w:rsid w:val="00B07729"/>
    <w:rsid w:val="00B07AFA"/>
    <w:rsid w:val="00B1172E"/>
    <w:rsid w:val="00B117C3"/>
    <w:rsid w:val="00B11FC2"/>
    <w:rsid w:val="00B1225A"/>
    <w:rsid w:val="00B131F5"/>
    <w:rsid w:val="00B14428"/>
    <w:rsid w:val="00B1508D"/>
    <w:rsid w:val="00B1525A"/>
    <w:rsid w:val="00B15929"/>
    <w:rsid w:val="00B16186"/>
    <w:rsid w:val="00B16C09"/>
    <w:rsid w:val="00B20A95"/>
    <w:rsid w:val="00B21322"/>
    <w:rsid w:val="00B21E16"/>
    <w:rsid w:val="00B23CB7"/>
    <w:rsid w:val="00B240CD"/>
    <w:rsid w:val="00B243B0"/>
    <w:rsid w:val="00B248A5"/>
    <w:rsid w:val="00B26B4D"/>
    <w:rsid w:val="00B26CCA"/>
    <w:rsid w:val="00B27A79"/>
    <w:rsid w:val="00B307E8"/>
    <w:rsid w:val="00B30CAC"/>
    <w:rsid w:val="00B31352"/>
    <w:rsid w:val="00B31C0C"/>
    <w:rsid w:val="00B32416"/>
    <w:rsid w:val="00B32573"/>
    <w:rsid w:val="00B3285E"/>
    <w:rsid w:val="00B329C6"/>
    <w:rsid w:val="00B3374A"/>
    <w:rsid w:val="00B337FD"/>
    <w:rsid w:val="00B3387E"/>
    <w:rsid w:val="00B34425"/>
    <w:rsid w:val="00B34CBC"/>
    <w:rsid w:val="00B350F5"/>
    <w:rsid w:val="00B365C9"/>
    <w:rsid w:val="00B366BF"/>
    <w:rsid w:val="00B36B36"/>
    <w:rsid w:val="00B37404"/>
    <w:rsid w:val="00B400F1"/>
    <w:rsid w:val="00B403EE"/>
    <w:rsid w:val="00B4072D"/>
    <w:rsid w:val="00B410FC"/>
    <w:rsid w:val="00B413AD"/>
    <w:rsid w:val="00B4210A"/>
    <w:rsid w:val="00B42959"/>
    <w:rsid w:val="00B42C10"/>
    <w:rsid w:val="00B43D94"/>
    <w:rsid w:val="00B451F3"/>
    <w:rsid w:val="00B45915"/>
    <w:rsid w:val="00B459A6"/>
    <w:rsid w:val="00B52331"/>
    <w:rsid w:val="00B526C6"/>
    <w:rsid w:val="00B5280E"/>
    <w:rsid w:val="00B536E1"/>
    <w:rsid w:val="00B53906"/>
    <w:rsid w:val="00B5455E"/>
    <w:rsid w:val="00B54AE9"/>
    <w:rsid w:val="00B54B9A"/>
    <w:rsid w:val="00B54D2F"/>
    <w:rsid w:val="00B55B69"/>
    <w:rsid w:val="00B5645E"/>
    <w:rsid w:val="00B565EC"/>
    <w:rsid w:val="00B5683F"/>
    <w:rsid w:val="00B56B74"/>
    <w:rsid w:val="00B57F56"/>
    <w:rsid w:val="00B57F6F"/>
    <w:rsid w:val="00B60613"/>
    <w:rsid w:val="00B6102F"/>
    <w:rsid w:val="00B61269"/>
    <w:rsid w:val="00B61807"/>
    <w:rsid w:val="00B61FAA"/>
    <w:rsid w:val="00B6215A"/>
    <w:rsid w:val="00B62535"/>
    <w:rsid w:val="00B62EC1"/>
    <w:rsid w:val="00B64A36"/>
    <w:rsid w:val="00B64AB3"/>
    <w:rsid w:val="00B661C6"/>
    <w:rsid w:val="00B66B99"/>
    <w:rsid w:val="00B7010F"/>
    <w:rsid w:val="00B70664"/>
    <w:rsid w:val="00B70868"/>
    <w:rsid w:val="00B709FC"/>
    <w:rsid w:val="00B70E2E"/>
    <w:rsid w:val="00B718F6"/>
    <w:rsid w:val="00B7269F"/>
    <w:rsid w:val="00B726F9"/>
    <w:rsid w:val="00B72812"/>
    <w:rsid w:val="00B72867"/>
    <w:rsid w:val="00B72A43"/>
    <w:rsid w:val="00B73901"/>
    <w:rsid w:val="00B741FB"/>
    <w:rsid w:val="00B7512E"/>
    <w:rsid w:val="00B75137"/>
    <w:rsid w:val="00B75306"/>
    <w:rsid w:val="00B75826"/>
    <w:rsid w:val="00B75BA5"/>
    <w:rsid w:val="00B76DBF"/>
    <w:rsid w:val="00B770E6"/>
    <w:rsid w:val="00B77111"/>
    <w:rsid w:val="00B779BF"/>
    <w:rsid w:val="00B77DDB"/>
    <w:rsid w:val="00B80B56"/>
    <w:rsid w:val="00B80C5D"/>
    <w:rsid w:val="00B8137F"/>
    <w:rsid w:val="00B81F2A"/>
    <w:rsid w:val="00B827B3"/>
    <w:rsid w:val="00B828FA"/>
    <w:rsid w:val="00B82996"/>
    <w:rsid w:val="00B83798"/>
    <w:rsid w:val="00B844AA"/>
    <w:rsid w:val="00B85FB5"/>
    <w:rsid w:val="00B86582"/>
    <w:rsid w:val="00B9084B"/>
    <w:rsid w:val="00B90E80"/>
    <w:rsid w:val="00B90EF9"/>
    <w:rsid w:val="00B91E50"/>
    <w:rsid w:val="00B92610"/>
    <w:rsid w:val="00B92C3D"/>
    <w:rsid w:val="00B93D29"/>
    <w:rsid w:val="00B93E41"/>
    <w:rsid w:val="00B944DF"/>
    <w:rsid w:val="00B94709"/>
    <w:rsid w:val="00B94CDD"/>
    <w:rsid w:val="00B95545"/>
    <w:rsid w:val="00B95FE7"/>
    <w:rsid w:val="00B96524"/>
    <w:rsid w:val="00B9703C"/>
    <w:rsid w:val="00B978DC"/>
    <w:rsid w:val="00BA019E"/>
    <w:rsid w:val="00BA027F"/>
    <w:rsid w:val="00BA0F89"/>
    <w:rsid w:val="00BA129A"/>
    <w:rsid w:val="00BA1BF0"/>
    <w:rsid w:val="00BA1CFF"/>
    <w:rsid w:val="00BA1FDC"/>
    <w:rsid w:val="00BA24C0"/>
    <w:rsid w:val="00BA265C"/>
    <w:rsid w:val="00BA3AD7"/>
    <w:rsid w:val="00BA4CEA"/>
    <w:rsid w:val="00BA4DB8"/>
    <w:rsid w:val="00BA58A0"/>
    <w:rsid w:val="00BA5A55"/>
    <w:rsid w:val="00BA5F87"/>
    <w:rsid w:val="00BA76DD"/>
    <w:rsid w:val="00BB01A1"/>
    <w:rsid w:val="00BB1158"/>
    <w:rsid w:val="00BB1211"/>
    <w:rsid w:val="00BB15ED"/>
    <w:rsid w:val="00BB23FD"/>
    <w:rsid w:val="00BB2BBC"/>
    <w:rsid w:val="00BB44F6"/>
    <w:rsid w:val="00BB55F7"/>
    <w:rsid w:val="00BB5E09"/>
    <w:rsid w:val="00BB6C63"/>
    <w:rsid w:val="00BB72B4"/>
    <w:rsid w:val="00BB75F3"/>
    <w:rsid w:val="00BC11F3"/>
    <w:rsid w:val="00BC140D"/>
    <w:rsid w:val="00BC1A21"/>
    <w:rsid w:val="00BC2022"/>
    <w:rsid w:val="00BC2062"/>
    <w:rsid w:val="00BC2294"/>
    <w:rsid w:val="00BC24E6"/>
    <w:rsid w:val="00BC2F1A"/>
    <w:rsid w:val="00BC3070"/>
    <w:rsid w:val="00BC3F71"/>
    <w:rsid w:val="00BC46E7"/>
    <w:rsid w:val="00BC528B"/>
    <w:rsid w:val="00BC61D3"/>
    <w:rsid w:val="00BC746B"/>
    <w:rsid w:val="00BC7560"/>
    <w:rsid w:val="00BC7BA0"/>
    <w:rsid w:val="00BD0888"/>
    <w:rsid w:val="00BD0BCA"/>
    <w:rsid w:val="00BD182C"/>
    <w:rsid w:val="00BD1EC5"/>
    <w:rsid w:val="00BD273B"/>
    <w:rsid w:val="00BD2D01"/>
    <w:rsid w:val="00BD2E2E"/>
    <w:rsid w:val="00BD3DF8"/>
    <w:rsid w:val="00BD4B6A"/>
    <w:rsid w:val="00BD5E90"/>
    <w:rsid w:val="00BD66A2"/>
    <w:rsid w:val="00BE106B"/>
    <w:rsid w:val="00BE12A9"/>
    <w:rsid w:val="00BE19CC"/>
    <w:rsid w:val="00BE2017"/>
    <w:rsid w:val="00BE2D03"/>
    <w:rsid w:val="00BE3082"/>
    <w:rsid w:val="00BE545B"/>
    <w:rsid w:val="00BE628D"/>
    <w:rsid w:val="00BE6C83"/>
    <w:rsid w:val="00BE6EC8"/>
    <w:rsid w:val="00BF03AC"/>
    <w:rsid w:val="00BF08F9"/>
    <w:rsid w:val="00BF1A14"/>
    <w:rsid w:val="00BF1E9D"/>
    <w:rsid w:val="00BF240E"/>
    <w:rsid w:val="00BF2F06"/>
    <w:rsid w:val="00BF50EE"/>
    <w:rsid w:val="00BF5B10"/>
    <w:rsid w:val="00C01EF0"/>
    <w:rsid w:val="00C0243E"/>
    <w:rsid w:val="00C0385F"/>
    <w:rsid w:val="00C0391A"/>
    <w:rsid w:val="00C058AF"/>
    <w:rsid w:val="00C05994"/>
    <w:rsid w:val="00C05EEA"/>
    <w:rsid w:val="00C066DE"/>
    <w:rsid w:val="00C06942"/>
    <w:rsid w:val="00C073C6"/>
    <w:rsid w:val="00C0766C"/>
    <w:rsid w:val="00C07A54"/>
    <w:rsid w:val="00C07E24"/>
    <w:rsid w:val="00C10366"/>
    <w:rsid w:val="00C10EAD"/>
    <w:rsid w:val="00C110A4"/>
    <w:rsid w:val="00C116D7"/>
    <w:rsid w:val="00C13E86"/>
    <w:rsid w:val="00C1596C"/>
    <w:rsid w:val="00C163FC"/>
    <w:rsid w:val="00C1644C"/>
    <w:rsid w:val="00C17362"/>
    <w:rsid w:val="00C205E9"/>
    <w:rsid w:val="00C21374"/>
    <w:rsid w:val="00C216C2"/>
    <w:rsid w:val="00C2253B"/>
    <w:rsid w:val="00C2263D"/>
    <w:rsid w:val="00C23578"/>
    <w:rsid w:val="00C237FE"/>
    <w:rsid w:val="00C24A9F"/>
    <w:rsid w:val="00C25076"/>
    <w:rsid w:val="00C26E41"/>
    <w:rsid w:val="00C3009A"/>
    <w:rsid w:val="00C300E4"/>
    <w:rsid w:val="00C3101C"/>
    <w:rsid w:val="00C33332"/>
    <w:rsid w:val="00C333CE"/>
    <w:rsid w:val="00C338FC"/>
    <w:rsid w:val="00C3421C"/>
    <w:rsid w:val="00C34799"/>
    <w:rsid w:val="00C34F2F"/>
    <w:rsid w:val="00C36101"/>
    <w:rsid w:val="00C365FD"/>
    <w:rsid w:val="00C375D6"/>
    <w:rsid w:val="00C37EEA"/>
    <w:rsid w:val="00C40A0B"/>
    <w:rsid w:val="00C4131B"/>
    <w:rsid w:val="00C41B87"/>
    <w:rsid w:val="00C4424E"/>
    <w:rsid w:val="00C44414"/>
    <w:rsid w:val="00C45D2A"/>
    <w:rsid w:val="00C4788E"/>
    <w:rsid w:val="00C47D18"/>
    <w:rsid w:val="00C500D9"/>
    <w:rsid w:val="00C51240"/>
    <w:rsid w:val="00C51E1F"/>
    <w:rsid w:val="00C51EEC"/>
    <w:rsid w:val="00C532A1"/>
    <w:rsid w:val="00C5364D"/>
    <w:rsid w:val="00C53B1B"/>
    <w:rsid w:val="00C53F3D"/>
    <w:rsid w:val="00C53F9B"/>
    <w:rsid w:val="00C55EC0"/>
    <w:rsid w:val="00C5788D"/>
    <w:rsid w:val="00C57FAD"/>
    <w:rsid w:val="00C60839"/>
    <w:rsid w:val="00C61B3D"/>
    <w:rsid w:val="00C6250D"/>
    <w:rsid w:val="00C62A8E"/>
    <w:rsid w:val="00C62EF1"/>
    <w:rsid w:val="00C6454F"/>
    <w:rsid w:val="00C6620B"/>
    <w:rsid w:val="00C676E3"/>
    <w:rsid w:val="00C70A83"/>
    <w:rsid w:val="00C715F0"/>
    <w:rsid w:val="00C72C6F"/>
    <w:rsid w:val="00C7389B"/>
    <w:rsid w:val="00C738BF"/>
    <w:rsid w:val="00C74132"/>
    <w:rsid w:val="00C74C7E"/>
    <w:rsid w:val="00C75CDE"/>
    <w:rsid w:val="00C75D8D"/>
    <w:rsid w:val="00C772EC"/>
    <w:rsid w:val="00C811C7"/>
    <w:rsid w:val="00C82232"/>
    <w:rsid w:val="00C828BB"/>
    <w:rsid w:val="00C83F0D"/>
    <w:rsid w:val="00C862A9"/>
    <w:rsid w:val="00C86F8B"/>
    <w:rsid w:val="00C9124A"/>
    <w:rsid w:val="00C92894"/>
    <w:rsid w:val="00C92BCF"/>
    <w:rsid w:val="00C946DB"/>
    <w:rsid w:val="00C94AEC"/>
    <w:rsid w:val="00C94FEA"/>
    <w:rsid w:val="00C9758A"/>
    <w:rsid w:val="00C976FA"/>
    <w:rsid w:val="00C9776E"/>
    <w:rsid w:val="00CA1502"/>
    <w:rsid w:val="00CA2ED2"/>
    <w:rsid w:val="00CA4EE4"/>
    <w:rsid w:val="00CA65A6"/>
    <w:rsid w:val="00CB0066"/>
    <w:rsid w:val="00CB0922"/>
    <w:rsid w:val="00CB0AB6"/>
    <w:rsid w:val="00CB0FC2"/>
    <w:rsid w:val="00CB1412"/>
    <w:rsid w:val="00CB299B"/>
    <w:rsid w:val="00CB3B13"/>
    <w:rsid w:val="00CB3B91"/>
    <w:rsid w:val="00CB3CDA"/>
    <w:rsid w:val="00CB58FC"/>
    <w:rsid w:val="00CB5D56"/>
    <w:rsid w:val="00CB6574"/>
    <w:rsid w:val="00CB715E"/>
    <w:rsid w:val="00CB7F9B"/>
    <w:rsid w:val="00CC0120"/>
    <w:rsid w:val="00CC0816"/>
    <w:rsid w:val="00CC0EF3"/>
    <w:rsid w:val="00CC160B"/>
    <w:rsid w:val="00CC23EA"/>
    <w:rsid w:val="00CC2972"/>
    <w:rsid w:val="00CC3AF8"/>
    <w:rsid w:val="00CC4162"/>
    <w:rsid w:val="00CC435E"/>
    <w:rsid w:val="00CC54A3"/>
    <w:rsid w:val="00CC5DB0"/>
    <w:rsid w:val="00CC607C"/>
    <w:rsid w:val="00CC6BC7"/>
    <w:rsid w:val="00CD0BA1"/>
    <w:rsid w:val="00CD232C"/>
    <w:rsid w:val="00CD3AB7"/>
    <w:rsid w:val="00CD3ABC"/>
    <w:rsid w:val="00CD3C92"/>
    <w:rsid w:val="00CD5DA4"/>
    <w:rsid w:val="00CD5F8F"/>
    <w:rsid w:val="00CD737D"/>
    <w:rsid w:val="00CD7F38"/>
    <w:rsid w:val="00CE0D52"/>
    <w:rsid w:val="00CE0DA9"/>
    <w:rsid w:val="00CE1281"/>
    <w:rsid w:val="00CE12F0"/>
    <w:rsid w:val="00CE1914"/>
    <w:rsid w:val="00CE1F99"/>
    <w:rsid w:val="00CE2F2B"/>
    <w:rsid w:val="00CE38AA"/>
    <w:rsid w:val="00CE3C64"/>
    <w:rsid w:val="00CE41FE"/>
    <w:rsid w:val="00CE5D45"/>
    <w:rsid w:val="00CE63F0"/>
    <w:rsid w:val="00CE67D4"/>
    <w:rsid w:val="00CE6EAA"/>
    <w:rsid w:val="00CE6EBE"/>
    <w:rsid w:val="00CE70C9"/>
    <w:rsid w:val="00CF02C0"/>
    <w:rsid w:val="00CF048A"/>
    <w:rsid w:val="00CF0E92"/>
    <w:rsid w:val="00CF1684"/>
    <w:rsid w:val="00CF16FA"/>
    <w:rsid w:val="00CF4BA2"/>
    <w:rsid w:val="00CF4F5B"/>
    <w:rsid w:val="00CF5496"/>
    <w:rsid w:val="00CF5F5E"/>
    <w:rsid w:val="00D00430"/>
    <w:rsid w:val="00D0076F"/>
    <w:rsid w:val="00D00DFC"/>
    <w:rsid w:val="00D0105E"/>
    <w:rsid w:val="00D0166B"/>
    <w:rsid w:val="00D01713"/>
    <w:rsid w:val="00D01858"/>
    <w:rsid w:val="00D02245"/>
    <w:rsid w:val="00D025C5"/>
    <w:rsid w:val="00D02816"/>
    <w:rsid w:val="00D02D5B"/>
    <w:rsid w:val="00D03374"/>
    <w:rsid w:val="00D03AD6"/>
    <w:rsid w:val="00D052A2"/>
    <w:rsid w:val="00D074CE"/>
    <w:rsid w:val="00D075BC"/>
    <w:rsid w:val="00D076EF"/>
    <w:rsid w:val="00D10A2F"/>
    <w:rsid w:val="00D10D17"/>
    <w:rsid w:val="00D11490"/>
    <w:rsid w:val="00D130CE"/>
    <w:rsid w:val="00D13669"/>
    <w:rsid w:val="00D1377F"/>
    <w:rsid w:val="00D13907"/>
    <w:rsid w:val="00D139ED"/>
    <w:rsid w:val="00D143C5"/>
    <w:rsid w:val="00D144FD"/>
    <w:rsid w:val="00D16497"/>
    <w:rsid w:val="00D165F8"/>
    <w:rsid w:val="00D167CF"/>
    <w:rsid w:val="00D1775A"/>
    <w:rsid w:val="00D207E2"/>
    <w:rsid w:val="00D20F34"/>
    <w:rsid w:val="00D21222"/>
    <w:rsid w:val="00D216D4"/>
    <w:rsid w:val="00D21959"/>
    <w:rsid w:val="00D23534"/>
    <w:rsid w:val="00D23592"/>
    <w:rsid w:val="00D238C3"/>
    <w:rsid w:val="00D23DF3"/>
    <w:rsid w:val="00D248CA"/>
    <w:rsid w:val="00D25108"/>
    <w:rsid w:val="00D251DC"/>
    <w:rsid w:val="00D25336"/>
    <w:rsid w:val="00D256CA"/>
    <w:rsid w:val="00D26E04"/>
    <w:rsid w:val="00D2705A"/>
    <w:rsid w:val="00D308AA"/>
    <w:rsid w:val="00D3141E"/>
    <w:rsid w:val="00D31D4F"/>
    <w:rsid w:val="00D31EAC"/>
    <w:rsid w:val="00D329ED"/>
    <w:rsid w:val="00D3389D"/>
    <w:rsid w:val="00D34345"/>
    <w:rsid w:val="00D344EF"/>
    <w:rsid w:val="00D345D6"/>
    <w:rsid w:val="00D34D15"/>
    <w:rsid w:val="00D351AC"/>
    <w:rsid w:val="00D35A96"/>
    <w:rsid w:val="00D36138"/>
    <w:rsid w:val="00D36376"/>
    <w:rsid w:val="00D37998"/>
    <w:rsid w:val="00D40122"/>
    <w:rsid w:val="00D40685"/>
    <w:rsid w:val="00D4138F"/>
    <w:rsid w:val="00D41BB4"/>
    <w:rsid w:val="00D436BA"/>
    <w:rsid w:val="00D43D7D"/>
    <w:rsid w:val="00D444CA"/>
    <w:rsid w:val="00D46417"/>
    <w:rsid w:val="00D466C5"/>
    <w:rsid w:val="00D470F3"/>
    <w:rsid w:val="00D47426"/>
    <w:rsid w:val="00D4756F"/>
    <w:rsid w:val="00D477DC"/>
    <w:rsid w:val="00D500E8"/>
    <w:rsid w:val="00D506E4"/>
    <w:rsid w:val="00D516E7"/>
    <w:rsid w:val="00D51CFC"/>
    <w:rsid w:val="00D5213D"/>
    <w:rsid w:val="00D52E05"/>
    <w:rsid w:val="00D55ED1"/>
    <w:rsid w:val="00D561D2"/>
    <w:rsid w:val="00D56D8D"/>
    <w:rsid w:val="00D57241"/>
    <w:rsid w:val="00D57910"/>
    <w:rsid w:val="00D5791B"/>
    <w:rsid w:val="00D57E38"/>
    <w:rsid w:val="00D60FCC"/>
    <w:rsid w:val="00D615CF"/>
    <w:rsid w:val="00D625CC"/>
    <w:rsid w:val="00D63102"/>
    <w:rsid w:val="00D6397D"/>
    <w:rsid w:val="00D63C34"/>
    <w:rsid w:val="00D65913"/>
    <w:rsid w:val="00D700FD"/>
    <w:rsid w:val="00D70812"/>
    <w:rsid w:val="00D71F30"/>
    <w:rsid w:val="00D720C2"/>
    <w:rsid w:val="00D726AF"/>
    <w:rsid w:val="00D72CD5"/>
    <w:rsid w:val="00D732CE"/>
    <w:rsid w:val="00D73447"/>
    <w:rsid w:val="00D7456D"/>
    <w:rsid w:val="00D74DBD"/>
    <w:rsid w:val="00D75083"/>
    <w:rsid w:val="00D76C36"/>
    <w:rsid w:val="00D76DDE"/>
    <w:rsid w:val="00D77208"/>
    <w:rsid w:val="00D77D1B"/>
    <w:rsid w:val="00D77E4A"/>
    <w:rsid w:val="00D8144E"/>
    <w:rsid w:val="00D815D8"/>
    <w:rsid w:val="00D819D5"/>
    <w:rsid w:val="00D81AEE"/>
    <w:rsid w:val="00D82049"/>
    <w:rsid w:val="00D8280C"/>
    <w:rsid w:val="00D82EE8"/>
    <w:rsid w:val="00D83D84"/>
    <w:rsid w:val="00D86983"/>
    <w:rsid w:val="00D86984"/>
    <w:rsid w:val="00D9128A"/>
    <w:rsid w:val="00D92105"/>
    <w:rsid w:val="00D933E4"/>
    <w:rsid w:val="00D934AF"/>
    <w:rsid w:val="00D93673"/>
    <w:rsid w:val="00D93CC1"/>
    <w:rsid w:val="00D944E5"/>
    <w:rsid w:val="00D945C4"/>
    <w:rsid w:val="00D94BC8"/>
    <w:rsid w:val="00D954EF"/>
    <w:rsid w:val="00D955C4"/>
    <w:rsid w:val="00D95A02"/>
    <w:rsid w:val="00D968BB"/>
    <w:rsid w:val="00D96B0D"/>
    <w:rsid w:val="00D96FB3"/>
    <w:rsid w:val="00D97FE7"/>
    <w:rsid w:val="00DA0177"/>
    <w:rsid w:val="00DA115D"/>
    <w:rsid w:val="00DA1C5E"/>
    <w:rsid w:val="00DA1CBF"/>
    <w:rsid w:val="00DA2348"/>
    <w:rsid w:val="00DA25A0"/>
    <w:rsid w:val="00DA36A9"/>
    <w:rsid w:val="00DA47C6"/>
    <w:rsid w:val="00DA4C53"/>
    <w:rsid w:val="00DA5224"/>
    <w:rsid w:val="00DA5618"/>
    <w:rsid w:val="00DA5C6C"/>
    <w:rsid w:val="00DA6880"/>
    <w:rsid w:val="00DA6903"/>
    <w:rsid w:val="00DA7E81"/>
    <w:rsid w:val="00DB083C"/>
    <w:rsid w:val="00DB3B3B"/>
    <w:rsid w:val="00DB507F"/>
    <w:rsid w:val="00DB542F"/>
    <w:rsid w:val="00DB5686"/>
    <w:rsid w:val="00DB574F"/>
    <w:rsid w:val="00DB5953"/>
    <w:rsid w:val="00DB6036"/>
    <w:rsid w:val="00DB7222"/>
    <w:rsid w:val="00DB77E1"/>
    <w:rsid w:val="00DC0106"/>
    <w:rsid w:val="00DC08E3"/>
    <w:rsid w:val="00DC2000"/>
    <w:rsid w:val="00DC257B"/>
    <w:rsid w:val="00DC33BF"/>
    <w:rsid w:val="00DC367E"/>
    <w:rsid w:val="00DC4CC7"/>
    <w:rsid w:val="00DC4F8D"/>
    <w:rsid w:val="00DC5327"/>
    <w:rsid w:val="00DC5E13"/>
    <w:rsid w:val="00DC6223"/>
    <w:rsid w:val="00DC656E"/>
    <w:rsid w:val="00DC7830"/>
    <w:rsid w:val="00DD2347"/>
    <w:rsid w:val="00DD2932"/>
    <w:rsid w:val="00DD36CB"/>
    <w:rsid w:val="00DD3A51"/>
    <w:rsid w:val="00DD439E"/>
    <w:rsid w:val="00DE0639"/>
    <w:rsid w:val="00DE0DB6"/>
    <w:rsid w:val="00DE2661"/>
    <w:rsid w:val="00DE4C29"/>
    <w:rsid w:val="00DE66D5"/>
    <w:rsid w:val="00DE78CD"/>
    <w:rsid w:val="00DF0344"/>
    <w:rsid w:val="00DF16B3"/>
    <w:rsid w:val="00DF275F"/>
    <w:rsid w:val="00DF2D8C"/>
    <w:rsid w:val="00DF2EFE"/>
    <w:rsid w:val="00DF3D7C"/>
    <w:rsid w:val="00DF5035"/>
    <w:rsid w:val="00DF61F6"/>
    <w:rsid w:val="00DF6B31"/>
    <w:rsid w:val="00E00495"/>
    <w:rsid w:val="00E01603"/>
    <w:rsid w:val="00E01C63"/>
    <w:rsid w:val="00E02027"/>
    <w:rsid w:val="00E0251F"/>
    <w:rsid w:val="00E043D0"/>
    <w:rsid w:val="00E04A6D"/>
    <w:rsid w:val="00E0535B"/>
    <w:rsid w:val="00E05B13"/>
    <w:rsid w:val="00E060BB"/>
    <w:rsid w:val="00E06187"/>
    <w:rsid w:val="00E115D3"/>
    <w:rsid w:val="00E117F1"/>
    <w:rsid w:val="00E11AB5"/>
    <w:rsid w:val="00E11BBC"/>
    <w:rsid w:val="00E12C29"/>
    <w:rsid w:val="00E13887"/>
    <w:rsid w:val="00E13AD6"/>
    <w:rsid w:val="00E15BEC"/>
    <w:rsid w:val="00E15EA2"/>
    <w:rsid w:val="00E15F04"/>
    <w:rsid w:val="00E16C1C"/>
    <w:rsid w:val="00E2104B"/>
    <w:rsid w:val="00E219F0"/>
    <w:rsid w:val="00E222DC"/>
    <w:rsid w:val="00E23C54"/>
    <w:rsid w:val="00E24233"/>
    <w:rsid w:val="00E2609D"/>
    <w:rsid w:val="00E269E8"/>
    <w:rsid w:val="00E27839"/>
    <w:rsid w:val="00E27CA2"/>
    <w:rsid w:val="00E27F7D"/>
    <w:rsid w:val="00E3031A"/>
    <w:rsid w:val="00E31071"/>
    <w:rsid w:val="00E312DC"/>
    <w:rsid w:val="00E31453"/>
    <w:rsid w:val="00E31D92"/>
    <w:rsid w:val="00E31E7E"/>
    <w:rsid w:val="00E320BA"/>
    <w:rsid w:val="00E323EF"/>
    <w:rsid w:val="00E327F5"/>
    <w:rsid w:val="00E32F86"/>
    <w:rsid w:val="00E333ED"/>
    <w:rsid w:val="00E33B18"/>
    <w:rsid w:val="00E34088"/>
    <w:rsid w:val="00E342C9"/>
    <w:rsid w:val="00E34583"/>
    <w:rsid w:val="00E34A46"/>
    <w:rsid w:val="00E34E42"/>
    <w:rsid w:val="00E354BA"/>
    <w:rsid w:val="00E3613D"/>
    <w:rsid w:val="00E361B5"/>
    <w:rsid w:val="00E366AE"/>
    <w:rsid w:val="00E40003"/>
    <w:rsid w:val="00E41FA0"/>
    <w:rsid w:val="00E4245A"/>
    <w:rsid w:val="00E426D2"/>
    <w:rsid w:val="00E427C2"/>
    <w:rsid w:val="00E42A77"/>
    <w:rsid w:val="00E42B32"/>
    <w:rsid w:val="00E42F89"/>
    <w:rsid w:val="00E433C4"/>
    <w:rsid w:val="00E435BD"/>
    <w:rsid w:val="00E437C3"/>
    <w:rsid w:val="00E44510"/>
    <w:rsid w:val="00E45E61"/>
    <w:rsid w:val="00E4726B"/>
    <w:rsid w:val="00E47980"/>
    <w:rsid w:val="00E51747"/>
    <w:rsid w:val="00E52300"/>
    <w:rsid w:val="00E525D4"/>
    <w:rsid w:val="00E525E4"/>
    <w:rsid w:val="00E52A43"/>
    <w:rsid w:val="00E53E7A"/>
    <w:rsid w:val="00E5460D"/>
    <w:rsid w:val="00E54F63"/>
    <w:rsid w:val="00E55557"/>
    <w:rsid w:val="00E56BBE"/>
    <w:rsid w:val="00E57704"/>
    <w:rsid w:val="00E579DE"/>
    <w:rsid w:val="00E579F3"/>
    <w:rsid w:val="00E57AC9"/>
    <w:rsid w:val="00E57D47"/>
    <w:rsid w:val="00E60044"/>
    <w:rsid w:val="00E60413"/>
    <w:rsid w:val="00E60A5F"/>
    <w:rsid w:val="00E61119"/>
    <w:rsid w:val="00E61717"/>
    <w:rsid w:val="00E61ADE"/>
    <w:rsid w:val="00E620C8"/>
    <w:rsid w:val="00E62285"/>
    <w:rsid w:val="00E6299D"/>
    <w:rsid w:val="00E63A0C"/>
    <w:rsid w:val="00E64523"/>
    <w:rsid w:val="00E645FE"/>
    <w:rsid w:val="00E6494A"/>
    <w:rsid w:val="00E64976"/>
    <w:rsid w:val="00E65245"/>
    <w:rsid w:val="00E657CA"/>
    <w:rsid w:val="00E65F4D"/>
    <w:rsid w:val="00E66959"/>
    <w:rsid w:val="00E66B30"/>
    <w:rsid w:val="00E6728F"/>
    <w:rsid w:val="00E701F6"/>
    <w:rsid w:val="00E70831"/>
    <w:rsid w:val="00E70F18"/>
    <w:rsid w:val="00E71DD7"/>
    <w:rsid w:val="00E72BDE"/>
    <w:rsid w:val="00E73EFC"/>
    <w:rsid w:val="00E767F2"/>
    <w:rsid w:val="00E76CFA"/>
    <w:rsid w:val="00E77EB8"/>
    <w:rsid w:val="00E80105"/>
    <w:rsid w:val="00E8142D"/>
    <w:rsid w:val="00E8222F"/>
    <w:rsid w:val="00E83487"/>
    <w:rsid w:val="00E83E90"/>
    <w:rsid w:val="00E83FA2"/>
    <w:rsid w:val="00E859EF"/>
    <w:rsid w:val="00E85A92"/>
    <w:rsid w:val="00E86FB9"/>
    <w:rsid w:val="00E86FF8"/>
    <w:rsid w:val="00E87463"/>
    <w:rsid w:val="00E87C5E"/>
    <w:rsid w:val="00E90886"/>
    <w:rsid w:val="00E90B20"/>
    <w:rsid w:val="00E914C8"/>
    <w:rsid w:val="00E9171A"/>
    <w:rsid w:val="00E92CFB"/>
    <w:rsid w:val="00E9387D"/>
    <w:rsid w:val="00E93D6B"/>
    <w:rsid w:val="00E93F51"/>
    <w:rsid w:val="00E944AA"/>
    <w:rsid w:val="00E9461C"/>
    <w:rsid w:val="00E9498E"/>
    <w:rsid w:val="00E9562A"/>
    <w:rsid w:val="00E96822"/>
    <w:rsid w:val="00E96DD3"/>
    <w:rsid w:val="00E971FE"/>
    <w:rsid w:val="00EA0097"/>
    <w:rsid w:val="00EA16E5"/>
    <w:rsid w:val="00EA1FE9"/>
    <w:rsid w:val="00EA2047"/>
    <w:rsid w:val="00EA3ADD"/>
    <w:rsid w:val="00EA4EDB"/>
    <w:rsid w:val="00EA5D5C"/>
    <w:rsid w:val="00EA5EDD"/>
    <w:rsid w:val="00EA6375"/>
    <w:rsid w:val="00EA74D9"/>
    <w:rsid w:val="00EB1E84"/>
    <w:rsid w:val="00EB1FCF"/>
    <w:rsid w:val="00EB2845"/>
    <w:rsid w:val="00EB45F1"/>
    <w:rsid w:val="00EB4DD7"/>
    <w:rsid w:val="00EB6301"/>
    <w:rsid w:val="00EB6571"/>
    <w:rsid w:val="00EC08B9"/>
    <w:rsid w:val="00EC1C35"/>
    <w:rsid w:val="00EC1C7E"/>
    <w:rsid w:val="00EC2A24"/>
    <w:rsid w:val="00EC2C0E"/>
    <w:rsid w:val="00EC32E6"/>
    <w:rsid w:val="00EC433C"/>
    <w:rsid w:val="00EC443D"/>
    <w:rsid w:val="00EC520D"/>
    <w:rsid w:val="00EC5231"/>
    <w:rsid w:val="00EC5541"/>
    <w:rsid w:val="00EC5FD8"/>
    <w:rsid w:val="00EC6241"/>
    <w:rsid w:val="00EC721B"/>
    <w:rsid w:val="00EC7EE0"/>
    <w:rsid w:val="00ED022A"/>
    <w:rsid w:val="00ED1BA9"/>
    <w:rsid w:val="00ED1D25"/>
    <w:rsid w:val="00ED201F"/>
    <w:rsid w:val="00ED24CE"/>
    <w:rsid w:val="00ED54A7"/>
    <w:rsid w:val="00ED5C57"/>
    <w:rsid w:val="00ED5FB8"/>
    <w:rsid w:val="00ED6AAE"/>
    <w:rsid w:val="00EE024E"/>
    <w:rsid w:val="00EE0A36"/>
    <w:rsid w:val="00EE0D90"/>
    <w:rsid w:val="00EE0FB6"/>
    <w:rsid w:val="00EE19B8"/>
    <w:rsid w:val="00EE1A6B"/>
    <w:rsid w:val="00EE1AB3"/>
    <w:rsid w:val="00EE1F07"/>
    <w:rsid w:val="00EE1FA6"/>
    <w:rsid w:val="00EE4319"/>
    <w:rsid w:val="00EE4D53"/>
    <w:rsid w:val="00EE5C0E"/>
    <w:rsid w:val="00EE62B1"/>
    <w:rsid w:val="00EE71DB"/>
    <w:rsid w:val="00EE7486"/>
    <w:rsid w:val="00EE7E8A"/>
    <w:rsid w:val="00EF119B"/>
    <w:rsid w:val="00EF1D58"/>
    <w:rsid w:val="00EF1DCC"/>
    <w:rsid w:val="00EF3764"/>
    <w:rsid w:val="00EF4025"/>
    <w:rsid w:val="00EF52B2"/>
    <w:rsid w:val="00EF655B"/>
    <w:rsid w:val="00EF72A3"/>
    <w:rsid w:val="00F00A8F"/>
    <w:rsid w:val="00F01C18"/>
    <w:rsid w:val="00F024FC"/>
    <w:rsid w:val="00F02B68"/>
    <w:rsid w:val="00F03AF0"/>
    <w:rsid w:val="00F03D6D"/>
    <w:rsid w:val="00F04443"/>
    <w:rsid w:val="00F047FE"/>
    <w:rsid w:val="00F05EF3"/>
    <w:rsid w:val="00F0681C"/>
    <w:rsid w:val="00F10621"/>
    <w:rsid w:val="00F113DA"/>
    <w:rsid w:val="00F116FB"/>
    <w:rsid w:val="00F11F16"/>
    <w:rsid w:val="00F1278B"/>
    <w:rsid w:val="00F12A53"/>
    <w:rsid w:val="00F13027"/>
    <w:rsid w:val="00F131AD"/>
    <w:rsid w:val="00F13393"/>
    <w:rsid w:val="00F133DD"/>
    <w:rsid w:val="00F13E02"/>
    <w:rsid w:val="00F1408F"/>
    <w:rsid w:val="00F14290"/>
    <w:rsid w:val="00F14714"/>
    <w:rsid w:val="00F15AC6"/>
    <w:rsid w:val="00F15E75"/>
    <w:rsid w:val="00F1617D"/>
    <w:rsid w:val="00F16226"/>
    <w:rsid w:val="00F16B89"/>
    <w:rsid w:val="00F173EC"/>
    <w:rsid w:val="00F17ADC"/>
    <w:rsid w:val="00F17C3D"/>
    <w:rsid w:val="00F20389"/>
    <w:rsid w:val="00F20C36"/>
    <w:rsid w:val="00F20E96"/>
    <w:rsid w:val="00F2118D"/>
    <w:rsid w:val="00F21BA9"/>
    <w:rsid w:val="00F22794"/>
    <w:rsid w:val="00F23F4B"/>
    <w:rsid w:val="00F24107"/>
    <w:rsid w:val="00F2496B"/>
    <w:rsid w:val="00F25816"/>
    <w:rsid w:val="00F25DC5"/>
    <w:rsid w:val="00F2621C"/>
    <w:rsid w:val="00F264E2"/>
    <w:rsid w:val="00F26944"/>
    <w:rsid w:val="00F26E07"/>
    <w:rsid w:val="00F277A9"/>
    <w:rsid w:val="00F3180F"/>
    <w:rsid w:val="00F321D7"/>
    <w:rsid w:val="00F32C75"/>
    <w:rsid w:val="00F32C76"/>
    <w:rsid w:val="00F339F4"/>
    <w:rsid w:val="00F33A53"/>
    <w:rsid w:val="00F34998"/>
    <w:rsid w:val="00F34E9F"/>
    <w:rsid w:val="00F35AE8"/>
    <w:rsid w:val="00F35C1B"/>
    <w:rsid w:val="00F35CDA"/>
    <w:rsid w:val="00F36916"/>
    <w:rsid w:val="00F36992"/>
    <w:rsid w:val="00F36D8F"/>
    <w:rsid w:val="00F36F8F"/>
    <w:rsid w:val="00F37392"/>
    <w:rsid w:val="00F37828"/>
    <w:rsid w:val="00F3789F"/>
    <w:rsid w:val="00F37A60"/>
    <w:rsid w:val="00F401A9"/>
    <w:rsid w:val="00F401B6"/>
    <w:rsid w:val="00F40624"/>
    <w:rsid w:val="00F40DC2"/>
    <w:rsid w:val="00F41779"/>
    <w:rsid w:val="00F41D75"/>
    <w:rsid w:val="00F420AC"/>
    <w:rsid w:val="00F42C3E"/>
    <w:rsid w:val="00F43034"/>
    <w:rsid w:val="00F441DA"/>
    <w:rsid w:val="00F459E9"/>
    <w:rsid w:val="00F464BB"/>
    <w:rsid w:val="00F467F6"/>
    <w:rsid w:val="00F516D3"/>
    <w:rsid w:val="00F5184E"/>
    <w:rsid w:val="00F52419"/>
    <w:rsid w:val="00F528DF"/>
    <w:rsid w:val="00F5360A"/>
    <w:rsid w:val="00F54805"/>
    <w:rsid w:val="00F54FDA"/>
    <w:rsid w:val="00F55531"/>
    <w:rsid w:val="00F56047"/>
    <w:rsid w:val="00F56EB9"/>
    <w:rsid w:val="00F6040B"/>
    <w:rsid w:val="00F6177E"/>
    <w:rsid w:val="00F62D33"/>
    <w:rsid w:val="00F64C62"/>
    <w:rsid w:val="00F6582B"/>
    <w:rsid w:val="00F66721"/>
    <w:rsid w:val="00F66EC5"/>
    <w:rsid w:val="00F672D3"/>
    <w:rsid w:val="00F67682"/>
    <w:rsid w:val="00F67CF5"/>
    <w:rsid w:val="00F708AC"/>
    <w:rsid w:val="00F70D45"/>
    <w:rsid w:val="00F711E0"/>
    <w:rsid w:val="00F713A3"/>
    <w:rsid w:val="00F715AA"/>
    <w:rsid w:val="00F7206B"/>
    <w:rsid w:val="00F738F0"/>
    <w:rsid w:val="00F7412D"/>
    <w:rsid w:val="00F7554F"/>
    <w:rsid w:val="00F75B3A"/>
    <w:rsid w:val="00F763D4"/>
    <w:rsid w:val="00F77734"/>
    <w:rsid w:val="00F80553"/>
    <w:rsid w:val="00F81D3E"/>
    <w:rsid w:val="00F823C6"/>
    <w:rsid w:val="00F82BD0"/>
    <w:rsid w:val="00F8321F"/>
    <w:rsid w:val="00F83319"/>
    <w:rsid w:val="00F83393"/>
    <w:rsid w:val="00F8521E"/>
    <w:rsid w:val="00F852E6"/>
    <w:rsid w:val="00F85754"/>
    <w:rsid w:val="00F85E88"/>
    <w:rsid w:val="00F86180"/>
    <w:rsid w:val="00F86250"/>
    <w:rsid w:val="00F87970"/>
    <w:rsid w:val="00F90061"/>
    <w:rsid w:val="00F90BF9"/>
    <w:rsid w:val="00F90CBD"/>
    <w:rsid w:val="00F91506"/>
    <w:rsid w:val="00F91724"/>
    <w:rsid w:val="00F919BB"/>
    <w:rsid w:val="00F955EC"/>
    <w:rsid w:val="00F96194"/>
    <w:rsid w:val="00F966E1"/>
    <w:rsid w:val="00F96747"/>
    <w:rsid w:val="00FA15D2"/>
    <w:rsid w:val="00FA1E4E"/>
    <w:rsid w:val="00FA2C1F"/>
    <w:rsid w:val="00FA30CB"/>
    <w:rsid w:val="00FA325D"/>
    <w:rsid w:val="00FA33D2"/>
    <w:rsid w:val="00FA344C"/>
    <w:rsid w:val="00FA4F9C"/>
    <w:rsid w:val="00FA529F"/>
    <w:rsid w:val="00FA578A"/>
    <w:rsid w:val="00FA597D"/>
    <w:rsid w:val="00FA6A37"/>
    <w:rsid w:val="00FA7DE2"/>
    <w:rsid w:val="00FA7DFE"/>
    <w:rsid w:val="00FB02BE"/>
    <w:rsid w:val="00FB054E"/>
    <w:rsid w:val="00FB08D0"/>
    <w:rsid w:val="00FB09B6"/>
    <w:rsid w:val="00FB260A"/>
    <w:rsid w:val="00FB3646"/>
    <w:rsid w:val="00FB4CB9"/>
    <w:rsid w:val="00FB4E57"/>
    <w:rsid w:val="00FB653E"/>
    <w:rsid w:val="00FC001F"/>
    <w:rsid w:val="00FC0E45"/>
    <w:rsid w:val="00FC1BA4"/>
    <w:rsid w:val="00FC1DF0"/>
    <w:rsid w:val="00FC2083"/>
    <w:rsid w:val="00FC3786"/>
    <w:rsid w:val="00FC5370"/>
    <w:rsid w:val="00FC57C8"/>
    <w:rsid w:val="00FC61F7"/>
    <w:rsid w:val="00FC7415"/>
    <w:rsid w:val="00FC75AD"/>
    <w:rsid w:val="00FD0251"/>
    <w:rsid w:val="00FD0980"/>
    <w:rsid w:val="00FD0A9B"/>
    <w:rsid w:val="00FD1242"/>
    <w:rsid w:val="00FD28C8"/>
    <w:rsid w:val="00FD332E"/>
    <w:rsid w:val="00FD3A93"/>
    <w:rsid w:val="00FD42BD"/>
    <w:rsid w:val="00FD48D4"/>
    <w:rsid w:val="00FD4BDF"/>
    <w:rsid w:val="00FD5701"/>
    <w:rsid w:val="00FD5AE0"/>
    <w:rsid w:val="00FD5D51"/>
    <w:rsid w:val="00FD6652"/>
    <w:rsid w:val="00FD676D"/>
    <w:rsid w:val="00FD7BA0"/>
    <w:rsid w:val="00FE01E3"/>
    <w:rsid w:val="00FE038B"/>
    <w:rsid w:val="00FE1966"/>
    <w:rsid w:val="00FE1E91"/>
    <w:rsid w:val="00FE3110"/>
    <w:rsid w:val="00FE3136"/>
    <w:rsid w:val="00FE4C9C"/>
    <w:rsid w:val="00FE52F3"/>
    <w:rsid w:val="00FE5B69"/>
    <w:rsid w:val="00FE696F"/>
    <w:rsid w:val="00FE72E7"/>
    <w:rsid w:val="00FF0267"/>
    <w:rsid w:val="00FF2286"/>
    <w:rsid w:val="00FF277B"/>
    <w:rsid w:val="00FF278B"/>
    <w:rsid w:val="00FF4D26"/>
    <w:rsid w:val="00FF562C"/>
    <w:rsid w:val="00FF5A0E"/>
    <w:rsid w:val="00FF6666"/>
    <w:rsid w:val="00FF748C"/>
    <w:rsid w:val="00FF756B"/>
    <w:rsid w:val="0E503F8D"/>
    <w:rsid w:val="48C66F74"/>
    <w:rsid w:val="561C5E9B"/>
    <w:rsid w:val="66CC61B6"/>
    <w:rsid w:val="68076E37"/>
    <w:rsid w:val="698A2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DA9860"/>
  <w15:docId w15:val="{F5D6CF67-E169-404E-8F61-80D2D391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unhideWhenUsed="1" w:qFormat="1"/>
    <w:lsdException w:name="heading 3" w:qFormat="1"/>
    <w:lsdException w:name="heading 4" w:uiPriority="9" w:unhideWhenUsed="1" w:qFormat="1"/>
    <w:lsdException w:name="heading 5"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uiPriority="99" w:unhideWhenUsed="1" w:qFormat="1"/>
    <w:lsdException w:name="annotation text" w:uiPriority="99" w:unhideWhenUsed="1" w:qFormat="1"/>
    <w:lsdException w:name="header" w:uiPriority="99" w:qFormat="1"/>
    <w:lsdException w:name="footer" w:uiPriority="99" w:qFormat="1"/>
    <w:lsdException w:name="caption" w:uiPriority="35" w:unhideWhenUsed="1" w:qFormat="1"/>
    <w:lsdException w:name="table of figures" w:uiPriority="99" w:unhideWhenUsed="1" w:qFormat="1"/>
    <w:lsdException w:name="footnote reference" w:uiPriority="99" w:unhideWhenUsed="1" w:qFormat="1"/>
    <w:lsdException w:name="annotation reference" w:uiPriority="99" w:unhideWhenUsed="1" w:qFormat="1"/>
    <w:lsdException w:name="line number" w:qFormat="1"/>
    <w:lsdException w:name="page number" w:uiPriority="99"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Hyperlink" w:uiPriority="99" w:qFormat="1"/>
    <w:lsdException w:name="FollowedHyperlink" w:qFormat="1"/>
    <w:lsdException w:name="Strong" w:uiPriority="22" w:qFormat="1"/>
    <w:lsdException w:name="Emphasis" w:uiPriority="20" w:qFormat="1"/>
    <w:lsdException w:name="Document Map" w:uiPriority="99"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Times New Roman" w:hAnsi="Arial" w:cs="Arial"/>
      <w:color w:val="000000"/>
      <w:sz w:val="26"/>
      <w:szCs w:val="24"/>
    </w:rPr>
  </w:style>
  <w:style w:type="paragraph" w:styleId="Heading1">
    <w:name w:val="heading 1"/>
    <w:basedOn w:val="Normal"/>
    <w:next w:val="Normal"/>
    <w:link w:val="Heading1Char"/>
    <w:qFormat/>
    <w:pPr>
      <w:keepNext/>
      <w:spacing w:before="120" w:after="120"/>
      <w:ind w:left="431" w:hanging="431"/>
      <w:outlineLvl w:val="0"/>
    </w:pPr>
    <w:rPr>
      <w:rFonts w:ascii="Times New Roman" w:hAnsi="Times New Roman" w:cs="Times New Roman"/>
      <w:b/>
      <w:bCs/>
      <w:color w:val="auto"/>
      <w:kern w:val="32"/>
      <w:sz w:val="28"/>
      <w:szCs w:val="32"/>
    </w:rPr>
  </w:style>
  <w:style w:type="paragraph" w:styleId="Heading2">
    <w:name w:val="heading 2"/>
    <w:basedOn w:val="Normal"/>
    <w:next w:val="Normal"/>
    <w:link w:val="Heading2Char"/>
    <w:uiPriority w:val="9"/>
    <w:unhideWhenUsed/>
    <w:qFormat/>
    <w:pPr>
      <w:keepNext/>
      <w:spacing w:before="120" w:after="120" w:line="300" w:lineRule="auto"/>
      <w:ind w:left="578" w:hanging="578"/>
      <w:jc w:val="both"/>
      <w:outlineLvl w:val="1"/>
    </w:pPr>
    <w:rPr>
      <w:rFonts w:ascii="Times New Roman" w:hAnsi="Times New Roman" w:cs="Times New Roman"/>
      <w:b/>
      <w:bCs/>
      <w:iCs/>
      <w:color w:val="auto"/>
      <w:szCs w:val="28"/>
    </w:rPr>
  </w:style>
  <w:style w:type="paragraph" w:styleId="Heading3">
    <w:name w:val="heading 3"/>
    <w:basedOn w:val="Normal"/>
    <w:next w:val="Normal"/>
    <w:link w:val="Heading3Char"/>
    <w:qFormat/>
    <w:pPr>
      <w:keepNext/>
      <w:spacing w:before="120" w:after="120" w:line="300" w:lineRule="auto"/>
      <w:ind w:left="284"/>
      <w:jc w:val="both"/>
      <w:outlineLvl w:val="2"/>
    </w:pPr>
    <w:rPr>
      <w:rFonts w:ascii="Times New Roman" w:hAnsi="Times New Roman"/>
      <w:b/>
      <w:bCs/>
    </w:rPr>
  </w:style>
  <w:style w:type="paragraph" w:styleId="Heading4">
    <w:name w:val="heading 4"/>
    <w:basedOn w:val="Normal"/>
    <w:next w:val="Normal"/>
    <w:link w:val="Heading4Char"/>
    <w:uiPriority w:val="9"/>
    <w:unhideWhenUsed/>
    <w:qFormat/>
    <w:pPr>
      <w:keepNext/>
      <w:spacing w:before="120" w:after="120" w:line="300" w:lineRule="auto"/>
      <w:ind w:left="1429" w:hanging="862"/>
      <w:jc w:val="both"/>
      <w:outlineLvl w:val="3"/>
    </w:pPr>
    <w:rPr>
      <w:rFonts w:ascii="Times New Roman" w:hAnsi="Times New Roman" w:cs="Times New Roman"/>
      <w:b/>
      <w:bCs/>
      <w:i/>
      <w:color w:val="auto"/>
      <w:szCs w:val="28"/>
    </w:rPr>
  </w:style>
  <w:style w:type="paragraph" w:styleId="Heading5">
    <w:name w:val="heading 5"/>
    <w:basedOn w:val="Normal"/>
    <w:next w:val="Normal"/>
    <w:link w:val="Heading5Char"/>
    <w:qFormat/>
    <w:pPr>
      <w:keepNext/>
      <w:outlineLvl w:val="4"/>
    </w:pPr>
    <w:rPr>
      <w:rFonts w:ascii="VNI-Times" w:hAnsi="VNI-Times" w:cs="Times New Roman"/>
      <w:b/>
      <w:bCs/>
      <w:color w:val="auto"/>
      <w:sz w:val="24"/>
      <w:szCs w:val="20"/>
    </w:rPr>
  </w:style>
  <w:style w:type="paragraph" w:styleId="Heading6">
    <w:name w:val="heading 6"/>
    <w:basedOn w:val="Normal"/>
    <w:next w:val="Normal"/>
    <w:link w:val="Heading6Char"/>
    <w:uiPriority w:val="9"/>
    <w:unhideWhenUsed/>
    <w:qFormat/>
    <w:pPr>
      <w:spacing w:before="240" w:after="60"/>
      <w:ind w:left="1152" w:hanging="1152"/>
      <w:outlineLvl w:val="5"/>
    </w:pPr>
    <w:rPr>
      <w:rFonts w:ascii="Calibri" w:hAnsi="Calibri" w:cs="Times New Roman"/>
      <w:b/>
      <w:bCs/>
      <w:color w:val="auto"/>
      <w:sz w:val="22"/>
      <w:szCs w:val="22"/>
    </w:rPr>
  </w:style>
  <w:style w:type="paragraph" w:styleId="Heading7">
    <w:name w:val="heading 7"/>
    <w:basedOn w:val="Normal"/>
    <w:next w:val="Normal"/>
    <w:link w:val="Heading7Char"/>
    <w:uiPriority w:val="9"/>
    <w:unhideWhenUsed/>
    <w:qFormat/>
    <w:pPr>
      <w:spacing w:before="240" w:after="60"/>
      <w:ind w:left="1296" w:hanging="1296"/>
      <w:outlineLvl w:val="6"/>
    </w:pPr>
    <w:rPr>
      <w:rFonts w:ascii="Calibri" w:hAnsi="Calibri" w:cs="Times New Roman"/>
      <w:color w:val="auto"/>
      <w:sz w:val="24"/>
    </w:rPr>
  </w:style>
  <w:style w:type="paragraph" w:styleId="Heading8">
    <w:name w:val="heading 8"/>
    <w:basedOn w:val="Normal"/>
    <w:next w:val="Normal"/>
    <w:link w:val="Heading8Char"/>
    <w:uiPriority w:val="9"/>
    <w:unhideWhenUsed/>
    <w:qFormat/>
    <w:pPr>
      <w:spacing w:before="240" w:after="60"/>
      <w:ind w:left="1440" w:hanging="1440"/>
      <w:outlineLvl w:val="7"/>
    </w:pPr>
    <w:rPr>
      <w:rFonts w:ascii="Calibri" w:hAnsi="Calibri" w:cs="Times New Roman"/>
      <w:i/>
      <w:iCs/>
      <w:color w:val="auto"/>
      <w:sz w:val="24"/>
    </w:rPr>
  </w:style>
  <w:style w:type="paragraph" w:styleId="Heading9">
    <w:name w:val="heading 9"/>
    <w:basedOn w:val="Normal"/>
    <w:next w:val="Normal"/>
    <w:link w:val="Heading9Char"/>
    <w:uiPriority w:val="9"/>
    <w:semiHidden/>
    <w:unhideWhenUsed/>
    <w:qFormat/>
    <w:pPr>
      <w:spacing w:before="240" w:after="60"/>
      <w:ind w:left="1584" w:hanging="1584"/>
      <w:outlineLvl w:val="8"/>
    </w:pPr>
    <w:rPr>
      <w:rFonts w:ascii="Cambria" w:hAnsi="Cambria" w:cs="Times New Roman"/>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eastAsia="Calibri" w:hAnsi="Segoe UI" w:cs="Segoe UI"/>
      <w:color w:val="auto"/>
      <w:sz w:val="18"/>
      <w:szCs w:val="18"/>
    </w:rPr>
  </w:style>
  <w:style w:type="paragraph" w:styleId="BodyText">
    <w:name w:val="Body Text"/>
    <w:basedOn w:val="Normal"/>
    <w:link w:val="BodyTextChar"/>
    <w:qFormat/>
    <w:pPr>
      <w:jc w:val="center"/>
    </w:pPr>
    <w:rPr>
      <w:rFonts w:ascii="Times New Roman" w:hAnsi="Times New Roman" w:cs="Times New Roman"/>
      <w:b/>
      <w:bCs/>
      <w:color w:val="auto"/>
      <w:sz w:val="28"/>
    </w:rPr>
  </w:style>
  <w:style w:type="paragraph" w:styleId="BodyTextIndent">
    <w:name w:val="Body Text Indent"/>
    <w:basedOn w:val="Normal"/>
    <w:link w:val="BodyTextIndentChar"/>
    <w:qFormat/>
    <w:pPr>
      <w:spacing w:before="240" w:line="280" w:lineRule="atLeast"/>
      <w:ind w:firstLine="567"/>
      <w:jc w:val="both"/>
    </w:pPr>
    <w:rPr>
      <w:rFonts w:ascii="Times New Roman" w:eastAsia="SimSun" w:hAnsi="Times New Roman" w:cs="Times New Roman"/>
      <w:color w:val="auto"/>
      <w:sz w:val="28"/>
    </w:rPr>
  </w:style>
  <w:style w:type="paragraph" w:styleId="Caption">
    <w:name w:val="caption"/>
    <w:basedOn w:val="Normal"/>
    <w:next w:val="Normal"/>
    <w:uiPriority w:val="35"/>
    <w:unhideWhenUsed/>
    <w:qFormat/>
    <w:rPr>
      <w:rFonts w:ascii="Calibri" w:eastAsia="Calibri" w:hAnsi="Calibri" w:cs="Times New Roman"/>
      <w:b/>
      <w:bCs/>
      <w:color w:val="4F81BD"/>
      <w:sz w:val="18"/>
      <w:szCs w:val="18"/>
    </w:rPr>
  </w:style>
  <w:style w:type="character" w:styleId="CommentReference">
    <w:name w:val="annotation reference"/>
    <w:uiPriority w:val="99"/>
    <w:unhideWhenUsed/>
    <w:qFormat/>
    <w:rPr>
      <w:sz w:val="18"/>
      <w:szCs w:val="18"/>
    </w:rPr>
  </w:style>
  <w:style w:type="paragraph" w:styleId="CommentText">
    <w:name w:val="annotation text"/>
    <w:basedOn w:val="Normal"/>
    <w:link w:val="CommentTextChar"/>
    <w:uiPriority w:val="99"/>
    <w:unhideWhenUsed/>
    <w:qFormat/>
    <w:pPr>
      <w:spacing w:after="200" w:line="276" w:lineRule="auto"/>
    </w:pPr>
    <w:rPr>
      <w:rFonts w:ascii="Calibri" w:hAnsi="Calibri" w:cs="Times New Roman"/>
      <w:color w:val="auto"/>
      <w:sz w:val="24"/>
    </w:rPr>
  </w:style>
  <w:style w:type="paragraph" w:styleId="CommentSubject">
    <w:name w:val="annotation subject"/>
    <w:basedOn w:val="CommentText"/>
    <w:next w:val="CommentText"/>
    <w:link w:val="CommentSubjectChar"/>
    <w:uiPriority w:val="99"/>
    <w:qFormat/>
    <w:rPr>
      <w:b/>
      <w:bCs/>
      <w:sz w:val="20"/>
      <w:szCs w:val="20"/>
    </w:rPr>
  </w:style>
  <w:style w:type="paragraph" w:styleId="DocumentMap">
    <w:name w:val="Document Map"/>
    <w:basedOn w:val="Normal"/>
    <w:link w:val="DocumentMapChar"/>
    <w:uiPriority w:val="99"/>
    <w:qFormat/>
    <w:rPr>
      <w:rFonts w:ascii="Helvetica" w:hAnsi="Helvetica" w:cs="Times New Roman"/>
      <w:color w:val="auto"/>
      <w:sz w:val="24"/>
    </w:rPr>
  </w:style>
  <w:style w:type="character" w:styleId="Emphasis">
    <w:name w:val="Emphasis"/>
    <w:uiPriority w:val="20"/>
    <w:qFormat/>
    <w:rPr>
      <w:i/>
      <w:iCs/>
    </w:rPr>
  </w:style>
  <w:style w:type="character" w:styleId="FollowedHyperlink">
    <w:name w:val="FollowedHyperlink"/>
    <w:qFormat/>
    <w:rPr>
      <w:color w:val="954F72"/>
      <w:u w:val="single"/>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Times New Roman" w:hAnsi="Times New Roman" w:cs="Times New Roman"/>
      <w:color w:val="auto"/>
      <w:sz w:val="20"/>
      <w:szCs w:val="20"/>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styleId="Hyperlink">
    <w:name w:val="Hyperlink"/>
    <w:uiPriority w:val="99"/>
    <w:qFormat/>
    <w:rPr>
      <w:color w:val="0000FF"/>
      <w:u w:val="single"/>
    </w:rPr>
  </w:style>
  <w:style w:type="character" w:styleId="LineNumber">
    <w:name w:val="line number"/>
    <w:basedOn w:val="DefaultParagraphFont"/>
    <w:qFormat/>
  </w:style>
  <w:style w:type="paragraph" w:styleId="ListBullet">
    <w:name w:val="List Bullet"/>
    <w:basedOn w:val="Normal"/>
    <w:qFormat/>
    <w:pPr>
      <w:numPr>
        <w:numId w:val="1"/>
      </w:numPr>
      <w:contextualSpacing/>
    </w:pPr>
  </w:style>
  <w:style w:type="paragraph" w:styleId="NormalWeb">
    <w:name w:val="Normal (Web)"/>
    <w:basedOn w:val="Normal"/>
    <w:link w:val="NormalWebChar"/>
    <w:uiPriority w:val="99"/>
    <w:unhideWhenUsed/>
    <w:qFormat/>
    <w:pPr>
      <w:spacing w:before="100" w:beforeAutospacing="1" w:after="100" w:afterAutospacing="1"/>
    </w:pPr>
    <w:rPr>
      <w:rFonts w:ascii="Times New Roman" w:hAnsi="Times New Roman" w:cs="Times New Roman"/>
      <w:color w:val="auto"/>
      <w:sz w:val="24"/>
    </w:rPr>
  </w:style>
  <w:style w:type="character" w:styleId="PageNumber">
    <w:name w:val="page number"/>
    <w:basedOn w:val="DefaultParagraphFont"/>
    <w:uiPriority w:val="99"/>
    <w:qFormat/>
  </w:style>
  <w:style w:type="character" w:styleId="Strong">
    <w:name w:val="Strong"/>
    <w:uiPriority w:val="22"/>
    <w:qFormat/>
    <w:rPr>
      <w:b/>
      <w:bCs/>
    </w:rPr>
  </w:style>
  <w:style w:type="paragraph" w:styleId="Subtitle">
    <w:name w:val="Subtitle"/>
    <w:basedOn w:val="Normal"/>
    <w:next w:val="Normal"/>
    <w:link w:val="SubtitleChar"/>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rPr>
      <w:rFonts w:asciiTheme="minorHAnsi" w:eastAsiaTheme="minorEastAsia" w:hAnsiTheme="minorHAnsi" w:cstheme="minorBidi"/>
      <w:color w:val="auto"/>
      <w:sz w:val="24"/>
    </w:rPr>
  </w:style>
  <w:style w:type="paragraph" w:styleId="Title">
    <w:name w:val="Title"/>
    <w:basedOn w:val="Normal"/>
    <w:link w:val="TitleChar"/>
    <w:qFormat/>
    <w:pPr>
      <w:spacing w:before="100" w:beforeAutospacing="1" w:after="100" w:afterAutospacing="1"/>
    </w:pPr>
    <w:rPr>
      <w:rFonts w:ascii="Times New Roman" w:hAnsi="Times New Roman" w:cs="Times New Roman"/>
      <w:color w:val="auto"/>
      <w:sz w:val="24"/>
    </w:rPr>
  </w:style>
  <w:style w:type="paragraph" w:styleId="TOC1">
    <w:name w:val="toc 1"/>
    <w:basedOn w:val="Normal"/>
    <w:next w:val="Normal"/>
    <w:autoRedefine/>
    <w:uiPriority w:val="39"/>
    <w:qFormat/>
    <w:pPr>
      <w:tabs>
        <w:tab w:val="right" w:leader="dot" w:pos="8920"/>
      </w:tabs>
      <w:spacing w:before="60" w:after="60" w:line="288" w:lineRule="auto"/>
      <w:jc w:val="center"/>
    </w:pPr>
    <w:rPr>
      <w:rFonts w:ascii="Times New Roman Bold" w:hAnsi="Times New Roman Bold" w:cs="Times New Roman"/>
      <w:b/>
      <w:bCs/>
      <w:spacing w:val="-4"/>
      <w:szCs w:val="26"/>
      <w:lang w:val="nl-NL"/>
    </w:rPr>
  </w:style>
  <w:style w:type="paragraph" w:styleId="TOC2">
    <w:name w:val="toc 2"/>
    <w:basedOn w:val="Normal"/>
    <w:next w:val="Normal"/>
    <w:autoRedefine/>
    <w:uiPriority w:val="39"/>
    <w:qFormat/>
    <w:pPr>
      <w:tabs>
        <w:tab w:val="right" w:leader="dot" w:pos="8920"/>
      </w:tabs>
      <w:spacing w:before="80" w:after="80" w:line="312" w:lineRule="auto"/>
    </w:pPr>
    <w:rPr>
      <w:rFonts w:ascii="Times New Roman" w:hAnsi="Times New Roman" w:cs="Times New Roman"/>
      <w:szCs w:val="26"/>
    </w:rPr>
  </w:style>
  <w:style w:type="paragraph" w:styleId="TOC3">
    <w:name w:val="toc 3"/>
    <w:basedOn w:val="Normal"/>
    <w:next w:val="Normal"/>
    <w:autoRedefine/>
    <w:uiPriority w:val="39"/>
    <w:qFormat/>
    <w:pPr>
      <w:tabs>
        <w:tab w:val="right" w:leader="dot" w:pos="8920"/>
      </w:tabs>
      <w:spacing w:before="60" w:after="60" w:line="288" w:lineRule="auto"/>
      <w:ind w:firstLine="284"/>
    </w:pPr>
  </w:style>
  <w:style w:type="paragraph" w:styleId="TOC4">
    <w:name w:val="toc 4"/>
    <w:basedOn w:val="Normal"/>
    <w:next w:val="Normal"/>
    <w:autoRedefine/>
    <w:uiPriority w:val="39"/>
    <w:qFormat/>
    <w:pPr>
      <w:tabs>
        <w:tab w:val="right" w:leader="dot" w:pos="8920"/>
      </w:tabs>
      <w:spacing w:before="80" w:after="80" w:line="312" w:lineRule="auto"/>
      <w:ind w:firstLine="567"/>
    </w:pPr>
    <w:rPr>
      <w:rFonts w:ascii="Times New Roman" w:hAnsi="Times New Roman" w:cs="Times New Roman"/>
      <w:i/>
      <w:iCs/>
      <w:szCs w:val="26"/>
      <w:lang w:val="nl-NL"/>
    </w:rPr>
  </w:style>
  <w:style w:type="paragraph" w:styleId="TOC5">
    <w:name w:val="toc 5"/>
    <w:basedOn w:val="Normal"/>
    <w:next w:val="Normal"/>
    <w:autoRedefine/>
    <w:uiPriority w:val="39"/>
    <w:unhideWhenUsed/>
    <w:qFormat/>
    <w:pPr>
      <w:spacing w:after="100" w:line="278" w:lineRule="auto"/>
      <w:ind w:left="960"/>
    </w:pPr>
    <w:rPr>
      <w:rFonts w:asciiTheme="minorHAnsi" w:eastAsiaTheme="minorEastAsia" w:hAnsiTheme="minorHAnsi" w:cstheme="minorBidi"/>
      <w:color w:val="auto"/>
      <w:kern w:val="2"/>
      <w:sz w:val="24"/>
      <w14:ligatures w14:val="standardContextual"/>
    </w:rPr>
  </w:style>
  <w:style w:type="paragraph" w:styleId="TOC6">
    <w:name w:val="toc 6"/>
    <w:basedOn w:val="Normal"/>
    <w:next w:val="Normal"/>
    <w:autoRedefine/>
    <w:uiPriority w:val="39"/>
    <w:unhideWhenUsed/>
    <w:qFormat/>
    <w:pPr>
      <w:spacing w:after="100" w:line="278" w:lineRule="auto"/>
      <w:ind w:left="1200"/>
    </w:pPr>
    <w:rPr>
      <w:rFonts w:asciiTheme="minorHAnsi" w:eastAsiaTheme="minorEastAsia" w:hAnsiTheme="minorHAnsi" w:cstheme="minorBidi"/>
      <w:color w:val="auto"/>
      <w:kern w:val="2"/>
      <w:sz w:val="24"/>
      <w14:ligatures w14:val="standardContextual"/>
    </w:rPr>
  </w:style>
  <w:style w:type="paragraph" w:styleId="TOC7">
    <w:name w:val="toc 7"/>
    <w:basedOn w:val="Normal"/>
    <w:next w:val="Normal"/>
    <w:autoRedefine/>
    <w:uiPriority w:val="39"/>
    <w:unhideWhenUsed/>
    <w:qFormat/>
    <w:pPr>
      <w:spacing w:after="100" w:line="278" w:lineRule="auto"/>
      <w:ind w:left="1440"/>
    </w:pPr>
    <w:rPr>
      <w:rFonts w:asciiTheme="minorHAnsi" w:eastAsiaTheme="minorEastAsia" w:hAnsiTheme="minorHAnsi" w:cstheme="minorBidi"/>
      <w:color w:val="auto"/>
      <w:kern w:val="2"/>
      <w:sz w:val="24"/>
      <w14:ligatures w14:val="standardContextual"/>
    </w:rPr>
  </w:style>
  <w:style w:type="paragraph" w:styleId="TOC8">
    <w:name w:val="toc 8"/>
    <w:basedOn w:val="Normal"/>
    <w:next w:val="Normal"/>
    <w:autoRedefine/>
    <w:uiPriority w:val="39"/>
    <w:unhideWhenUsed/>
    <w:qFormat/>
    <w:pPr>
      <w:spacing w:after="100" w:line="278" w:lineRule="auto"/>
      <w:ind w:left="1680"/>
    </w:pPr>
    <w:rPr>
      <w:rFonts w:asciiTheme="minorHAnsi" w:eastAsiaTheme="minorEastAsia" w:hAnsiTheme="minorHAnsi" w:cstheme="minorBidi"/>
      <w:color w:val="auto"/>
      <w:kern w:val="2"/>
      <w:sz w:val="24"/>
      <w14:ligatures w14:val="standardContextual"/>
    </w:rPr>
  </w:style>
  <w:style w:type="paragraph" w:styleId="TOC9">
    <w:name w:val="toc 9"/>
    <w:basedOn w:val="Normal"/>
    <w:next w:val="Normal"/>
    <w:autoRedefine/>
    <w:uiPriority w:val="39"/>
    <w:unhideWhenUsed/>
    <w:qFormat/>
    <w:pPr>
      <w:spacing w:after="100" w:line="278" w:lineRule="auto"/>
      <w:ind w:left="1920"/>
    </w:pPr>
    <w:rPr>
      <w:rFonts w:asciiTheme="minorHAnsi" w:eastAsiaTheme="minorEastAsia" w:hAnsiTheme="minorHAnsi" w:cstheme="minorBidi"/>
      <w:color w:val="auto"/>
      <w:kern w:val="2"/>
      <w:sz w:val="24"/>
      <w14:ligatures w14:val="standardContextual"/>
    </w:rPr>
  </w:style>
  <w:style w:type="character" w:customStyle="1" w:styleId="Heading1Char">
    <w:name w:val="Heading 1 Char"/>
    <w:link w:val="Heading1"/>
    <w:uiPriority w:val="9"/>
    <w:qFormat/>
    <w:rPr>
      <w:b/>
      <w:bCs/>
      <w:kern w:val="32"/>
      <w:sz w:val="28"/>
      <w:szCs w:val="32"/>
    </w:rPr>
  </w:style>
  <w:style w:type="character" w:customStyle="1" w:styleId="Heading2Char">
    <w:name w:val="Heading 2 Char"/>
    <w:link w:val="Heading2"/>
    <w:uiPriority w:val="9"/>
    <w:qFormat/>
    <w:rPr>
      <w:b/>
      <w:bCs/>
      <w:iCs/>
      <w:sz w:val="26"/>
      <w:szCs w:val="28"/>
    </w:rPr>
  </w:style>
  <w:style w:type="character" w:customStyle="1" w:styleId="Heading4Char">
    <w:name w:val="Heading 4 Char"/>
    <w:link w:val="Heading4"/>
    <w:uiPriority w:val="9"/>
    <w:qFormat/>
    <w:rPr>
      <w:b/>
      <w:bCs/>
      <w:i/>
      <w:sz w:val="26"/>
      <w:szCs w:val="28"/>
    </w:rPr>
  </w:style>
  <w:style w:type="character" w:customStyle="1" w:styleId="Heading6Char">
    <w:name w:val="Heading 6 Char"/>
    <w:link w:val="Heading6"/>
    <w:uiPriority w:val="9"/>
    <w:qFormat/>
    <w:rPr>
      <w:rFonts w:ascii="Calibri" w:hAnsi="Calibri"/>
      <w:b/>
      <w:bCs/>
      <w:sz w:val="22"/>
      <w:szCs w:val="22"/>
    </w:rPr>
  </w:style>
  <w:style w:type="character" w:customStyle="1" w:styleId="Heading7Char">
    <w:name w:val="Heading 7 Char"/>
    <w:link w:val="Heading7"/>
    <w:uiPriority w:val="9"/>
    <w:qFormat/>
    <w:rPr>
      <w:rFonts w:ascii="Calibri" w:hAnsi="Calibri"/>
      <w:sz w:val="24"/>
      <w:szCs w:val="24"/>
    </w:rPr>
  </w:style>
  <w:style w:type="character" w:customStyle="1" w:styleId="Heading8Char">
    <w:name w:val="Heading 8 Char"/>
    <w:link w:val="Heading8"/>
    <w:uiPriority w:val="9"/>
    <w:qFormat/>
    <w:rPr>
      <w:rFonts w:ascii="Calibri" w:hAnsi="Calibri"/>
      <w:i/>
      <w:iCs/>
      <w:sz w:val="24"/>
      <w:szCs w:val="24"/>
    </w:rPr>
  </w:style>
  <w:style w:type="character" w:customStyle="1" w:styleId="Heading9Char">
    <w:name w:val="Heading 9 Char"/>
    <w:link w:val="Heading9"/>
    <w:uiPriority w:val="9"/>
    <w:semiHidden/>
    <w:qFormat/>
    <w:rPr>
      <w:rFonts w:ascii="Cambria" w:hAnsi="Cambria"/>
      <w:sz w:val="22"/>
      <w:szCs w:val="22"/>
    </w:rPr>
  </w:style>
  <w:style w:type="character" w:customStyle="1" w:styleId="HeaderChar">
    <w:name w:val="Header Char"/>
    <w:link w:val="Header"/>
    <w:uiPriority w:val="99"/>
    <w:qFormat/>
    <w:rPr>
      <w:rFonts w:ascii="Arial" w:hAnsi="Arial" w:cs="Arial"/>
      <w:color w:val="000000"/>
      <w:sz w:val="26"/>
      <w:szCs w:val="24"/>
    </w:rPr>
  </w:style>
  <w:style w:type="character" w:customStyle="1" w:styleId="FooterChar">
    <w:name w:val="Footer Char"/>
    <w:link w:val="Footer"/>
    <w:uiPriority w:val="99"/>
    <w:qFormat/>
    <w:rPr>
      <w:rFonts w:ascii="Arial" w:hAnsi="Arial" w:cs="Arial"/>
      <w:color w:val="000000"/>
      <w:sz w:val="26"/>
      <w:szCs w:val="24"/>
    </w:rPr>
  </w:style>
  <w:style w:type="character" w:customStyle="1" w:styleId="BodyTextChar">
    <w:name w:val="Body Text Char"/>
    <w:link w:val="BodyText"/>
    <w:qFormat/>
    <w:rPr>
      <w:b/>
      <w:bCs/>
      <w:sz w:val="28"/>
      <w:szCs w:val="24"/>
    </w:rPr>
  </w:style>
  <w:style w:type="character" w:customStyle="1" w:styleId="fontstyle01">
    <w:name w:val="fontstyle01"/>
    <w:qFormat/>
    <w:rPr>
      <w:rFonts w:ascii="Times New Roman" w:hAnsi="Times New Roman" w:cs="Times New Roman" w:hint="default"/>
      <w:color w:val="000000"/>
      <w:sz w:val="26"/>
      <w:szCs w:val="26"/>
    </w:rPr>
  </w:style>
  <w:style w:type="character" w:customStyle="1" w:styleId="FootnoteTextChar">
    <w:name w:val="Footnote Text Char"/>
    <w:basedOn w:val="DefaultParagraphFont"/>
    <w:link w:val="FootnoteText"/>
    <w:uiPriority w:val="99"/>
    <w:qFormat/>
  </w:style>
  <w:style w:type="paragraph" w:styleId="ListParagraph">
    <w:name w:val="List Paragraph"/>
    <w:basedOn w:val="Normal"/>
    <w:link w:val="ListParagraphChar"/>
    <w:uiPriority w:val="34"/>
    <w:qFormat/>
    <w:pPr>
      <w:ind w:left="720"/>
    </w:pPr>
    <w:rPr>
      <w:rFonts w:ascii="Times New Roman" w:hAnsi="Times New Roman" w:cs="Times New Roman"/>
      <w:color w:val="auto"/>
      <w:sz w:val="28"/>
    </w:rPr>
  </w:style>
  <w:style w:type="character" w:customStyle="1" w:styleId="ListParagraphChar">
    <w:name w:val="List Paragraph Char"/>
    <w:link w:val="ListParagraph"/>
    <w:uiPriority w:val="1"/>
    <w:qFormat/>
    <w:locked/>
    <w:rPr>
      <w:sz w:val="28"/>
      <w:szCs w:val="24"/>
    </w:rPr>
  </w:style>
  <w:style w:type="character" w:customStyle="1" w:styleId="TitleChar">
    <w:name w:val="Title Char"/>
    <w:link w:val="Title"/>
    <w:qFormat/>
    <w:rPr>
      <w:sz w:val="24"/>
      <w:szCs w:val="24"/>
    </w:rPr>
  </w:style>
  <w:style w:type="character" w:customStyle="1" w:styleId="fontstyle21">
    <w:name w:val="fontstyle21"/>
    <w:qFormat/>
    <w:rPr>
      <w:rFonts w:ascii="Times New Roman" w:hAnsi="Times New Roman" w:cs="Times New Roman" w:hint="default"/>
      <w:i/>
      <w:iCs/>
      <w:color w:val="000000"/>
      <w:sz w:val="26"/>
      <w:szCs w:val="2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character" w:customStyle="1" w:styleId="Heading3Char">
    <w:name w:val="Heading 3 Char"/>
    <w:link w:val="Heading3"/>
    <w:uiPriority w:val="9"/>
    <w:qFormat/>
    <w:rPr>
      <w:rFonts w:cs="Arial"/>
      <w:b/>
      <w:bCs/>
      <w:color w:val="000000"/>
      <w:sz w:val="26"/>
      <w:szCs w:val="24"/>
    </w:rPr>
  </w:style>
  <w:style w:type="character" w:customStyle="1" w:styleId="Heading5Char">
    <w:name w:val="Heading 5 Char"/>
    <w:link w:val="Heading5"/>
    <w:qFormat/>
    <w:rPr>
      <w:rFonts w:ascii="VNI-Times" w:hAnsi="VNI-Times"/>
      <w:b/>
      <w:bCs/>
      <w:sz w:val="24"/>
    </w:rPr>
  </w:style>
  <w:style w:type="character" w:customStyle="1" w:styleId="BalloonTextChar">
    <w:name w:val="Balloon Text Char"/>
    <w:link w:val="BalloonText"/>
    <w:uiPriority w:val="99"/>
    <w:qFormat/>
    <w:rPr>
      <w:rFonts w:ascii="Segoe UI" w:eastAsia="Calibri" w:hAnsi="Segoe UI" w:cs="Segoe UI"/>
      <w:sz w:val="18"/>
      <w:szCs w:val="18"/>
    </w:rPr>
  </w:style>
  <w:style w:type="character" w:customStyle="1" w:styleId="UnresolvedMention1">
    <w:name w:val="Unresolved Mention1"/>
    <w:uiPriority w:val="99"/>
    <w:semiHidden/>
    <w:unhideWhenUsed/>
    <w:qFormat/>
    <w:rPr>
      <w:color w:val="605E5C"/>
      <w:shd w:val="clear" w:color="auto" w:fill="E1DFDD"/>
    </w:rPr>
  </w:style>
  <w:style w:type="character" w:customStyle="1" w:styleId="bold">
    <w:name w:val="bold"/>
    <w:basedOn w:val="DefaultParagraphFont"/>
    <w:qFormat/>
  </w:style>
  <w:style w:type="character" w:customStyle="1" w:styleId="ng-star-inserted">
    <w:name w:val="ng-star-inserted"/>
    <w:basedOn w:val="DefaultParagraphFont"/>
    <w:qFormat/>
  </w:style>
  <w:style w:type="paragraph" w:customStyle="1" w:styleId="query-text-line">
    <w:name w:val="query-text-line"/>
    <w:basedOn w:val="Normal"/>
    <w:pPr>
      <w:spacing w:before="100" w:beforeAutospacing="1" w:after="100" w:afterAutospacing="1"/>
    </w:pPr>
    <w:rPr>
      <w:rFonts w:ascii="Times New Roman" w:hAnsi="Times New Roman" w:cs="Times New Roman"/>
      <w:color w:val="auto"/>
      <w:sz w:val="24"/>
    </w:rPr>
  </w:style>
  <w:style w:type="paragraph" w:customStyle="1" w:styleId="tctc17--s-biu-">
    <w:name w:val="tctc_17--số-biểu-đồ"/>
    <w:basedOn w:val="Normal"/>
    <w:qFormat/>
    <w:pPr>
      <w:spacing w:before="100" w:beforeAutospacing="1" w:after="100" w:afterAutospacing="1"/>
    </w:pPr>
    <w:rPr>
      <w:rFonts w:ascii="Times New Roman" w:hAnsi="Times New Roman" w:cs="Times New Roman"/>
      <w:color w:val="auto"/>
      <w:sz w:val="24"/>
    </w:rPr>
  </w:style>
  <w:style w:type="character" w:customStyle="1" w:styleId="qu--ch-n">
    <w:name w:val="qu--ch-n"/>
    <w:basedOn w:val="DefaultParagraphFont"/>
  </w:style>
  <w:style w:type="paragraph" w:customStyle="1" w:styleId="first-token">
    <w:name w:val="first-token"/>
    <w:basedOn w:val="Normal"/>
    <w:qFormat/>
    <w:pPr>
      <w:spacing w:before="100" w:beforeAutospacing="1" w:after="100" w:afterAutospacing="1"/>
    </w:pPr>
    <w:rPr>
      <w:rFonts w:ascii="Times New Roman" w:hAnsi="Times New Roman" w:cs="Times New Roman"/>
      <w:color w:val="auto"/>
      <w:sz w:val="24"/>
    </w:rPr>
  </w:style>
  <w:style w:type="paragraph" w:customStyle="1" w:styleId="noidung">
    <w:name w:val="noi dung"/>
    <w:pPr>
      <w:autoSpaceDE w:val="0"/>
      <w:autoSpaceDN w:val="0"/>
      <w:adjustRightInd w:val="0"/>
      <w:ind w:firstLine="720"/>
      <w:jc w:val="both"/>
    </w:pPr>
    <w:rPr>
      <w:rFonts w:ascii="Times New Roman" w:hAnsi="Times New Roman" w:cs="Times New Roman"/>
      <w:iCs/>
      <w:color w:val="000000"/>
      <w:sz w:val="26"/>
      <w:szCs w:val="26"/>
    </w:rPr>
  </w:style>
  <w:style w:type="paragraph" w:customStyle="1" w:styleId="00B">
    <w:name w:val="00B"/>
    <w:basedOn w:val="Normal"/>
    <w:uiPriority w:val="99"/>
    <w:qFormat/>
    <w:pPr>
      <w:keepNext/>
      <w:spacing w:before="120" w:line="360" w:lineRule="auto"/>
      <w:jc w:val="center"/>
      <w:outlineLvl w:val="0"/>
    </w:pPr>
    <w:rPr>
      <w:rFonts w:ascii="Times New Roman" w:hAnsi="Times New Roman" w:cs="Times New Roman"/>
      <w:b/>
      <w:bCs/>
      <w:i/>
      <w:color w:val="auto"/>
      <w:kern w:val="32"/>
      <w:szCs w:val="26"/>
    </w:rPr>
  </w:style>
  <w:style w:type="paragraph" w:customStyle="1" w:styleId="TOCHeading1">
    <w:name w:val="TOC Heading1"/>
    <w:basedOn w:val="Heading1"/>
    <w:next w:val="Normal"/>
    <w:uiPriority w:val="39"/>
    <w:unhideWhenUsed/>
    <w:qFormat/>
    <w:pPr>
      <w:keepLines/>
      <w:spacing w:before="240" w:after="0" w:line="259" w:lineRule="auto"/>
      <w:ind w:left="0" w:firstLine="0"/>
      <w:outlineLvl w:val="9"/>
    </w:pPr>
    <w:rPr>
      <w:rFonts w:asciiTheme="majorHAnsi" w:eastAsiaTheme="majorEastAsia" w:hAnsiTheme="majorHAnsi" w:cstheme="majorBidi"/>
      <w:b w:val="0"/>
      <w:bCs w:val="0"/>
      <w:color w:val="2F5496" w:themeColor="accent1" w:themeShade="BF"/>
      <w:kern w:val="0"/>
      <w:sz w:val="32"/>
    </w:rPr>
  </w:style>
  <w:style w:type="character" w:customStyle="1" w:styleId="apple-converted-space">
    <w:name w:val="apple-converted-space"/>
  </w:style>
  <w:style w:type="character" w:customStyle="1" w:styleId="DocumentMapChar">
    <w:name w:val="Document Map Char"/>
    <w:basedOn w:val="DefaultParagraphFont"/>
    <w:link w:val="DocumentMap"/>
    <w:uiPriority w:val="99"/>
    <w:qFormat/>
    <w:rPr>
      <w:rFonts w:ascii="Helvetica" w:hAnsi="Helvetica"/>
      <w:sz w:val="24"/>
      <w:szCs w:val="24"/>
    </w:rPr>
  </w:style>
  <w:style w:type="character" w:customStyle="1" w:styleId="notranslate">
    <w:name w:val="notranslate"/>
    <w:qFormat/>
  </w:style>
  <w:style w:type="character" w:customStyle="1" w:styleId="HTMLPreformattedChar">
    <w:name w:val="HTML Preformatted Char"/>
    <w:basedOn w:val="DefaultParagraphFont"/>
    <w:link w:val="HTMLPreformatted"/>
    <w:uiPriority w:val="99"/>
    <w:qFormat/>
    <w:rPr>
      <w:rFonts w:ascii="Courier New" w:hAnsi="Courier New" w:cs="Courier New"/>
    </w:rPr>
  </w:style>
  <w:style w:type="character" w:customStyle="1" w:styleId="hps">
    <w:name w:val="hps"/>
    <w:qFormat/>
  </w:style>
  <w:style w:type="paragraph" w:customStyle="1" w:styleId="Normal1">
    <w:name w:val="Normal1"/>
    <w:qFormat/>
    <w:rPr>
      <w:rFonts w:ascii="Times New Roman" w:eastAsia="Times New Roman" w:hAnsi="Times New Roman" w:cs="Times New Roman"/>
      <w:sz w:val="28"/>
      <w:szCs w:val="28"/>
    </w:rPr>
  </w:style>
  <w:style w:type="paragraph" w:customStyle="1" w:styleId="ft10">
    <w:name w:val="ft10"/>
    <w:basedOn w:val="Normal"/>
    <w:qFormat/>
    <w:pPr>
      <w:spacing w:before="100" w:beforeAutospacing="1" w:after="100" w:afterAutospacing="1"/>
    </w:pPr>
    <w:rPr>
      <w:rFonts w:ascii="Times New Roman" w:hAnsi="Times New Roman" w:cs="Times New Roman"/>
      <w:color w:val="auto"/>
      <w:sz w:val="24"/>
    </w:rPr>
  </w:style>
  <w:style w:type="paragraph" w:customStyle="1" w:styleId="ft23">
    <w:name w:val="ft23"/>
    <w:basedOn w:val="Normal"/>
    <w:qFormat/>
    <w:pPr>
      <w:spacing w:before="100" w:beforeAutospacing="1" w:after="100" w:afterAutospacing="1"/>
    </w:pPr>
    <w:rPr>
      <w:rFonts w:ascii="Times New Roman" w:hAnsi="Times New Roman" w:cs="Times New Roman"/>
      <w:color w:val="auto"/>
      <w:sz w:val="24"/>
    </w:rPr>
  </w:style>
  <w:style w:type="paragraph" w:customStyle="1" w:styleId="ft3">
    <w:name w:val="ft3"/>
    <w:basedOn w:val="Normal"/>
    <w:qFormat/>
    <w:pPr>
      <w:spacing w:before="100" w:beforeAutospacing="1" w:after="100" w:afterAutospacing="1"/>
    </w:pPr>
    <w:rPr>
      <w:rFonts w:ascii="Times New Roman" w:hAnsi="Times New Roman" w:cs="Times New Roman"/>
      <w:color w:val="auto"/>
      <w:sz w:val="24"/>
    </w:rPr>
  </w:style>
  <w:style w:type="paragraph" w:customStyle="1" w:styleId="ft18">
    <w:name w:val="ft18"/>
    <w:basedOn w:val="Normal"/>
    <w:qFormat/>
    <w:pPr>
      <w:spacing w:before="100" w:beforeAutospacing="1" w:after="100" w:afterAutospacing="1"/>
    </w:pPr>
    <w:rPr>
      <w:rFonts w:ascii="Times New Roman" w:hAnsi="Times New Roman" w:cs="Times New Roman"/>
      <w:color w:val="auto"/>
      <w:sz w:val="24"/>
    </w:rPr>
  </w:style>
  <w:style w:type="paragraph" w:customStyle="1" w:styleId="ft24">
    <w:name w:val="ft24"/>
    <w:basedOn w:val="Normal"/>
    <w:qFormat/>
    <w:pPr>
      <w:spacing w:before="100" w:beforeAutospacing="1" w:after="100" w:afterAutospacing="1"/>
    </w:pPr>
    <w:rPr>
      <w:rFonts w:ascii="Times New Roman" w:hAnsi="Times New Roman" w:cs="Times New Roman"/>
      <w:color w:val="auto"/>
      <w:sz w:val="24"/>
    </w:rPr>
  </w:style>
  <w:style w:type="paragraph" w:customStyle="1" w:styleId="ft19">
    <w:name w:val="ft19"/>
    <w:basedOn w:val="Normal"/>
    <w:qFormat/>
    <w:pPr>
      <w:spacing w:before="100" w:beforeAutospacing="1" w:after="100" w:afterAutospacing="1"/>
    </w:pPr>
    <w:rPr>
      <w:rFonts w:ascii="Times New Roman" w:hAnsi="Times New Roman" w:cs="Times New Roman"/>
      <w:color w:val="auto"/>
      <w:sz w:val="24"/>
    </w:rPr>
  </w:style>
  <w:style w:type="paragraph" w:customStyle="1" w:styleId="ft27">
    <w:name w:val="ft27"/>
    <w:basedOn w:val="Normal"/>
    <w:qFormat/>
    <w:pPr>
      <w:spacing w:before="100" w:beforeAutospacing="1" w:after="100" w:afterAutospacing="1"/>
    </w:pPr>
    <w:rPr>
      <w:rFonts w:ascii="Times New Roman" w:hAnsi="Times New Roman" w:cs="Times New Roman"/>
      <w:color w:val="auto"/>
      <w:sz w:val="24"/>
    </w:rPr>
  </w:style>
  <w:style w:type="character" w:customStyle="1" w:styleId="fc">
    <w:name w:val="fc"/>
    <w:qFormat/>
  </w:style>
  <w:style w:type="character" w:customStyle="1" w:styleId="fb">
    <w:name w:val="fb"/>
    <w:qFormat/>
  </w:style>
  <w:style w:type="character" w:customStyle="1" w:styleId="l55">
    <w:name w:val="l55"/>
    <w:qFormat/>
  </w:style>
  <w:style w:type="character" w:customStyle="1" w:styleId="l56">
    <w:name w:val="l56"/>
    <w:qFormat/>
  </w:style>
  <w:style w:type="character" w:customStyle="1" w:styleId="l5c">
    <w:name w:val="l5c"/>
    <w:qFormat/>
  </w:style>
  <w:style w:type="character" w:customStyle="1" w:styleId="fd">
    <w:name w:val="fd"/>
    <w:qFormat/>
  </w:style>
  <w:style w:type="character" w:customStyle="1" w:styleId="fe">
    <w:name w:val="fe"/>
    <w:qFormat/>
  </w:style>
  <w:style w:type="character" w:customStyle="1" w:styleId="l43">
    <w:name w:val="l43"/>
    <w:qFormat/>
  </w:style>
  <w:style w:type="character" w:customStyle="1" w:styleId="l42">
    <w:name w:val="l42"/>
    <w:qFormat/>
  </w:style>
  <w:style w:type="character" w:customStyle="1" w:styleId="l45">
    <w:name w:val="l45"/>
    <w:qFormat/>
  </w:style>
  <w:style w:type="character" w:customStyle="1" w:styleId="l0">
    <w:name w:val="l0"/>
    <w:qFormat/>
  </w:style>
  <w:style w:type="character" w:customStyle="1" w:styleId="l4a">
    <w:name w:val="l4a"/>
    <w:qFormat/>
  </w:style>
  <w:style w:type="character" w:customStyle="1" w:styleId="l91">
    <w:name w:val="l91"/>
    <w:qFormat/>
  </w:style>
  <w:style w:type="character" w:customStyle="1" w:styleId="l37">
    <w:name w:val="l37"/>
    <w:qFormat/>
  </w:style>
  <w:style w:type="character" w:customStyle="1" w:styleId="l41">
    <w:name w:val="l41"/>
    <w:qFormat/>
  </w:style>
  <w:style w:type="character" w:customStyle="1" w:styleId="l61">
    <w:name w:val="l61"/>
    <w:qFormat/>
  </w:style>
  <w:style w:type="character" w:customStyle="1" w:styleId="l3b">
    <w:name w:val="l3b"/>
    <w:qFormat/>
  </w:style>
  <w:style w:type="character" w:customStyle="1" w:styleId="l48">
    <w:name w:val="l48"/>
    <w:qFormat/>
  </w:style>
  <w:style w:type="character" w:customStyle="1" w:styleId="l44">
    <w:name w:val="l44"/>
    <w:qFormat/>
  </w:style>
  <w:style w:type="character" w:customStyle="1" w:styleId="l52">
    <w:name w:val="l52"/>
    <w:qFormat/>
  </w:style>
  <w:style w:type="character" w:customStyle="1" w:styleId="l3d">
    <w:name w:val="l3d"/>
    <w:qFormat/>
  </w:style>
  <w:style w:type="character" w:customStyle="1" w:styleId="w177">
    <w:name w:val="w177"/>
    <w:qFormat/>
  </w:style>
  <w:style w:type="character" w:customStyle="1" w:styleId="l79">
    <w:name w:val="l79"/>
    <w:qFormat/>
  </w:style>
  <w:style w:type="character" w:customStyle="1" w:styleId="l3a">
    <w:name w:val="l3a"/>
    <w:qFormat/>
  </w:style>
  <w:style w:type="character" w:customStyle="1" w:styleId="l4e">
    <w:name w:val="l4e"/>
    <w:qFormat/>
  </w:style>
  <w:style w:type="character" w:customStyle="1" w:styleId="w11d">
    <w:name w:val="w11d"/>
    <w:qFormat/>
  </w:style>
  <w:style w:type="character" w:customStyle="1" w:styleId="l53">
    <w:name w:val="l53"/>
    <w:qFormat/>
  </w:style>
  <w:style w:type="character" w:customStyle="1" w:styleId="wc1">
    <w:name w:val="wc1"/>
    <w:qFormat/>
  </w:style>
  <w:style w:type="character" w:customStyle="1" w:styleId="l3c">
    <w:name w:val="l3c"/>
  </w:style>
  <w:style w:type="character" w:customStyle="1" w:styleId="w146">
    <w:name w:val="w146"/>
    <w:qFormat/>
  </w:style>
  <w:style w:type="character" w:customStyle="1" w:styleId="l46">
    <w:name w:val="l46"/>
    <w:qFormat/>
  </w:style>
  <w:style w:type="character" w:customStyle="1" w:styleId="l40">
    <w:name w:val="l40"/>
    <w:qFormat/>
  </w:style>
  <w:style w:type="character" w:customStyle="1" w:styleId="l11">
    <w:name w:val="l11"/>
    <w:qFormat/>
  </w:style>
  <w:style w:type="character" w:customStyle="1" w:styleId="l63">
    <w:name w:val="l63"/>
    <w:qFormat/>
  </w:style>
  <w:style w:type="character" w:customStyle="1" w:styleId="l49">
    <w:name w:val="l49"/>
    <w:qFormat/>
  </w:style>
  <w:style w:type="character" w:customStyle="1" w:styleId="l92">
    <w:name w:val="l92"/>
  </w:style>
  <w:style w:type="character" w:customStyle="1" w:styleId="wbf">
    <w:name w:val="wbf"/>
    <w:qFormat/>
  </w:style>
  <w:style w:type="character" w:customStyle="1" w:styleId="l15">
    <w:name w:val="l15"/>
    <w:qFormat/>
  </w:style>
  <w:style w:type="character" w:customStyle="1" w:styleId="l51">
    <w:name w:val="l51"/>
    <w:qFormat/>
  </w:style>
  <w:style w:type="character" w:customStyle="1" w:styleId="l64">
    <w:name w:val="l64"/>
  </w:style>
  <w:style w:type="character" w:customStyle="1" w:styleId="laf">
    <w:name w:val="laf"/>
    <w:qFormat/>
  </w:style>
  <w:style w:type="character" w:customStyle="1" w:styleId="lb0">
    <w:name w:val="lb0"/>
    <w:qFormat/>
  </w:style>
  <w:style w:type="character" w:customStyle="1" w:styleId="wf9">
    <w:name w:val="wf9"/>
    <w:qFormat/>
  </w:style>
  <w:style w:type="character" w:customStyle="1" w:styleId="l4b">
    <w:name w:val="l4b"/>
  </w:style>
  <w:style w:type="character" w:customStyle="1" w:styleId="l75">
    <w:name w:val="l75"/>
  </w:style>
  <w:style w:type="character" w:customStyle="1" w:styleId="f10">
    <w:name w:val="f10"/>
    <w:qFormat/>
  </w:style>
  <w:style w:type="character" w:customStyle="1" w:styleId="f11">
    <w:name w:val="f11"/>
    <w:qFormat/>
  </w:style>
  <w:style w:type="character" w:customStyle="1" w:styleId="l68">
    <w:name w:val="l68"/>
  </w:style>
  <w:style w:type="character" w:customStyle="1" w:styleId="w37">
    <w:name w:val="w37"/>
    <w:qFormat/>
  </w:style>
  <w:style w:type="character" w:customStyle="1" w:styleId="w72">
    <w:name w:val="w72"/>
    <w:qFormat/>
  </w:style>
  <w:style w:type="character" w:customStyle="1" w:styleId="l5d">
    <w:name w:val="l5d"/>
    <w:qFormat/>
  </w:style>
  <w:style w:type="character" w:customStyle="1" w:styleId="lb1">
    <w:name w:val="lb1"/>
    <w:qFormat/>
  </w:style>
  <w:style w:type="character" w:customStyle="1" w:styleId="l6a">
    <w:name w:val="l6a"/>
    <w:qFormat/>
  </w:style>
  <w:style w:type="character" w:customStyle="1" w:styleId="lb3">
    <w:name w:val="lb3"/>
    <w:qFormat/>
  </w:style>
  <w:style w:type="character" w:customStyle="1" w:styleId="l9b">
    <w:name w:val="l9b"/>
    <w:qFormat/>
  </w:style>
  <w:style w:type="character" w:customStyle="1" w:styleId="la8">
    <w:name w:val="la8"/>
    <w:qFormat/>
  </w:style>
  <w:style w:type="character" w:customStyle="1" w:styleId="la7">
    <w:name w:val="la7"/>
  </w:style>
  <w:style w:type="character" w:customStyle="1" w:styleId="l72">
    <w:name w:val="l72"/>
    <w:qFormat/>
  </w:style>
  <w:style w:type="character" w:customStyle="1" w:styleId="w2a5">
    <w:name w:val="w2a5"/>
    <w:qFormat/>
  </w:style>
  <w:style w:type="character" w:customStyle="1" w:styleId="w2a8">
    <w:name w:val="w2a8"/>
    <w:qFormat/>
  </w:style>
  <w:style w:type="character" w:customStyle="1" w:styleId="l99">
    <w:name w:val="l99"/>
    <w:qFormat/>
  </w:style>
  <w:style w:type="character" w:customStyle="1" w:styleId="lb8">
    <w:name w:val="lb8"/>
    <w:qFormat/>
  </w:style>
  <w:style w:type="character" w:customStyle="1" w:styleId="lb9">
    <w:name w:val="lb9"/>
    <w:qFormat/>
  </w:style>
  <w:style w:type="character" w:customStyle="1" w:styleId="lba">
    <w:name w:val="lba"/>
  </w:style>
  <w:style w:type="character" w:customStyle="1" w:styleId="f12">
    <w:name w:val="f12"/>
    <w:qFormat/>
  </w:style>
  <w:style w:type="character" w:customStyle="1" w:styleId="f13">
    <w:name w:val="f13"/>
  </w:style>
  <w:style w:type="character" w:customStyle="1" w:styleId="l6b">
    <w:name w:val="l6b"/>
  </w:style>
  <w:style w:type="character" w:customStyle="1" w:styleId="l6f">
    <w:name w:val="l6f"/>
    <w:qFormat/>
  </w:style>
  <w:style w:type="character" w:customStyle="1" w:styleId="l39">
    <w:name w:val="l39"/>
    <w:qFormat/>
  </w:style>
  <w:style w:type="character" w:customStyle="1" w:styleId="w4b">
    <w:name w:val="w4b"/>
  </w:style>
  <w:style w:type="character" w:customStyle="1" w:styleId="l4f">
    <w:name w:val="l4f"/>
  </w:style>
  <w:style w:type="character" w:customStyle="1" w:styleId="w219">
    <w:name w:val="w219"/>
  </w:style>
  <w:style w:type="character" w:customStyle="1" w:styleId="lad">
    <w:name w:val="lad"/>
    <w:qFormat/>
  </w:style>
  <w:style w:type="character" w:customStyle="1" w:styleId="w89">
    <w:name w:val="w89"/>
    <w:qFormat/>
  </w:style>
  <w:style w:type="character" w:customStyle="1" w:styleId="w5b">
    <w:name w:val="w5b"/>
    <w:qFormat/>
  </w:style>
  <w:style w:type="character" w:customStyle="1" w:styleId="l76">
    <w:name w:val="l76"/>
    <w:qFormat/>
  </w:style>
  <w:style w:type="character" w:customStyle="1" w:styleId="l65">
    <w:name w:val="l65"/>
    <w:qFormat/>
  </w:style>
  <w:style w:type="character" w:customStyle="1" w:styleId="w96">
    <w:name w:val="w96"/>
    <w:qFormat/>
  </w:style>
  <w:style w:type="character" w:customStyle="1" w:styleId="w6a">
    <w:name w:val="w6a"/>
    <w:qFormat/>
  </w:style>
  <w:style w:type="character" w:customStyle="1" w:styleId="lbe">
    <w:name w:val="lbe"/>
    <w:qFormat/>
  </w:style>
  <w:style w:type="character" w:customStyle="1" w:styleId="w2ca">
    <w:name w:val="w2ca"/>
    <w:qFormat/>
  </w:style>
  <w:style w:type="character" w:customStyle="1" w:styleId="w1c2">
    <w:name w:val="w1c2"/>
    <w:qFormat/>
  </w:style>
  <w:style w:type="character" w:customStyle="1" w:styleId="l58">
    <w:name w:val="l58"/>
    <w:qFormat/>
  </w:style>
  <w:style w:type="character" w:customStyle="1" w:styleId="w68">
    <w:name w:val="w68"/>
    <w:qFormat/>
  </w:style>
  <w:style w:type="character" w:customStyle="1" w:styleId="l38">
    <w:name w:val="l38"/>
    <w:qFormat/>
  </w:style>
  <w:style w:type="character" w:customStyle="1" w:styleId="l50">
    <w:name w:val="l50"/>
    <w:qFormat/>
  </w:style>
  <w:style w:type="character" w:customStyle="1" w:styleId="l3e">
    <w:name w:val="l3e"/>
    <w:qFormat/>
  </w:style>
  <w:style w:type="character" w:customStyle="1" w:styleId="l9">
    <w:name w:val="l9"/>
    <w:qFormat/>
  </w:style>
  <w:style w:type="character" w:customStyle="1" w:styleId="lbf">
    <w:name w:val="lbf"/>
    <w:qFormat/>
  </w:style>
  <w:style w:type="character" w:customStyle="1" w:styleId="a">
    <w:name w:val="_"/>
    <w:qFormat/>
  </w:style>
  <w:style w:type="character" w:customStyle="1" w:styleId="l9d">
    <w:name w:val="l9d"/>
    <w:qFormat/>
  </w:style>
  <w:style w:type="character" w:customStyle="1" w:styleId="f14">
    <w:name w:val="f14"/>
    <w:qFormat/>
  </w:style>
  <w:style w:type="character" w:customStyle="1" w:styleId="f15">
    <w:name w:val="f15"/>
    <w:qFormat/>
  </w:style>
  <w:style w:type="character" w:customStyle="1" w:styleId="lc3">
    <w:name w:val="lc3"/>
    <w:qFormat/>
  </w:style>
  <w:style w:type="paragraph" w:customStyle="1" w:styleId="para">
    <w:name w:val="para"/>
    <w:basedOn w:val="Normal"/>
    <w:qFormat/>
    <w:pPr>
      <w:spacing w:before="100" w:beforeAutospacing="1" w:after="100" w:afterAutospacing="1"/>
    </w:pPr>
    <w:rPr>
      <w:rFonts w:ascii="Times New Roman" w:hAnsi="Times New Roman" w:cs="Times New Roman"/>
      <w:color w:val="auto"/>
      <w:sz w:val="24"/>
    </w:rPr>
  </w:style>
  <w:style w:type="paragraph" w:customStyle="1" w:styleId="CharCharCharCharCharCharCharCharCharCharChar">
    <w:name w:val="Char Char Char Char Char Char Char Char Char Char Char"/>
    <w:basedOn w:val="Normal"/>
    <w:qFormat/>
    <w:pPr>
      <w:spacing w:after="160" w:line="240" w:lineRule="exact"/>
    </w:pPr>
    <w:rPr>
      <w:rFonts w:ascii="Verdana" w:hAnsi="Verdana" w:cs="Times New Roman"/>
      <w:color w:val="auto"/>
      <w:sz w:val="20"/>
      <w:szCs w:val="20"/>
    </w:rPr>
  </w:style>
  <w:style w:type="paragraph" w:customStyle="1" w:styleId="1tenbai">
    <w:name w:val="1tenbai"/>
    <w:basedOn w:val="Normal"/>
    <w:qFormat/>
    <w:pPr>
      <w:spacing w:before="100" w:beforeAutospacing="1" w:after="100" w:afterAutospacing="1"/>
    </w:pPr>
    <w:rPr>
      <w:rFonts w:ascii="Times New Roman" w:hAnsi="Times New Roman" w:cs="Times New Roman"/>
      <w:color w:val="auto"/>
      <w:sz w:val="24"/>
    </w:rPr>
  </w:style>
  <w:style w:type="character" w:customStyle="1" w:styleId="shorttext">
    <w:name w:val="short_text"/>
    <w:qFormat/>
  </w:style>
  <w:style w:type="paragraph" w:customStyle="1" w:styleId="Char">
    <w:name w:val="Char"/>
    <w:basedOn w:val="Normal"/>
    <w:qFormat/>
    <w:pPr>
      <w:pageBreakBefore/>
      <w:spacing w:before="100" w:beforeAutospacing="1" w:after="100" w:afterAutospacing="1"/>
    </w:pPr>
    <w:rPr>
      <w:rFonts w:ascii="Tahoma" w:hAnsi="Tahoma" w:cs="Tahoma"/>
      <w:color w:val="auto"/>
      <w:sz w:val="20"/>
      <w:szCs w:val="20"/>
    </w:rPr>
  </w:style>
  <w:style w:type="character" w:customStyle="1" w:styleId="CharChar9">
    <w:name w:val="Char Char9"/>
    <w:qFormat/>
    <w:rPr>
      <w:rFonts w:ascii="Cambria" w:eastAsia="Times New Roman" w:hAnsi="Cambria" w:cs="Times New Roman"/>
      <w:b/>
      <w:bCs/>
      <w:color w:val="365F91"/>
      <w:sz w:val="28"/>
      <w:szCs w:val="28"/>
    </w:rPr>
  </w:style>
  <w:style w:type="paragraph" w:customStyle="1" w:styleId="CAP1">
    <w:name w:val="CAP1"/>
    <w:next w:val="Heading1"/>
    <w:qFormat/>
    <w:pPr>
      <w:spacing w:before="120" w:after="120"/>
      <w:jc w:val="both"/>
    </w:pPr>
    <w:rPr>
      <w:rFonts w:ascii="Times New Roman" w:eastAsia="Times New Roman" w:hAnsi="Times New Roman" w:cs="Times New Roman"/>
      <w:b/>
      <w:iCs/>
      <w:sz w:val="26"/>
      <w:szCs w:val="26"/>
    </w:rPr>
  </w:style>
  <w:style w:type="paragraph" w:customStyle="1" w:styleId="Stylenguon">
    <w:name w:val="Style_nguon"/>
    <w:basedOn w:val="Normal"/>
    <w:qFormat/>
    <w:pPr>
      <w:spacing w:after="160"/>
      <w:jc w:val="center"/>
    </w:pPr>
    <w:rPr>
      <w:rFonts w:ascii="Times New Roman" w:eastAsia="Calibri" w:hAnsi="Times New Roman" w:cs="Times New Roman"/>
      <w:i/>
      <w:color w:val="auto"/>
      <w:sz w:val="22"/>
      <w:szCs w:val="22"/>
    </w:rPr>
  </w:style>
  <w:style w:type="paragraph" w:customStyle="1" w:styleId="Styletenhinh">
    <w:name w:val="Style_ten hinh"/>
    <w:basedOn w:val="Caption"/>
    <w:qFormat/>
    <w:pPr>
      <w:jc w:val="center"/>
    </w:pPr>
    <w:rPr>
      <w:rFonts w:ascii="Times New Roman" w:hAnsi="Times New Roman"/>
      <w:bCs w:val="0"/>
      <w:i/>
      <w:iCs/>
      <w:color w:val="auto"/>
      <w:sz w:val="24"/>
      <w:szCs w:val="24"/>
    </w:rPr>
  </w:style>
  <w:style w:type="paragraph" w:customStyle="1" w:styleId="002">
    <w:name w:val="002"/>
    <w:basedOn w:val="Normal"/>
    <w:uiPriority w:val="99"/>
    <w:qFormat/>
    <w:pPr>
      <w:keepNext/>
      <w:spacing w:before="120" w:line="360" w:lineRule="auto"/>
      <w:jc w:val="both"/>
      <w:outlineLvl w:val="0"/>
    </w:pPr>
    <w:rPr>
      <w:rFonts w:ascii="Times New Roman" w:hAnsi="Times New Roman" w:cs="Times New Roman"/>
      <w:b/>
      <w:bCs/>
      <w:color w:val="auto"/>
      <w:kern w:val="32"/>
      <w:szCs w:val="26"/>
    </w:rPr>
  </w:style>
  <w:style w:type="paragraph" w:customStyle="1" w:styleId="004">
    <w:name w:val="004"/>
    <w:basedOn w:val="Normal"/>
    <w:uiPriority w:val="99"/>
    <w:qFormat/>
    <w:pPr>
      <w:tabs>
        <w:tab w:val="left" w:pos="360"/>
      </w:tabs>
      <w:spacing w:before="120" w:line="360" w:lineRule="auto"/>
      <w:jc w:val="both"/>
    </w:pPr>
    <w:rPr>
      <w:rFonts w:ascii="Times New Roman" w:hAnsi="Times New Roman" w:cs="Times New Roman"/>
      <w:b/>
      <w:i/>
      <w:color w:val="auto"/>
      <w:szCs w:val="26"/>
      <w:lang w:val="af-ZA"/>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color w:val="auto"/>
      <w:sz w:val="22"/>
      <w:szCs w:val="22"/>
    </w:rPr>
  </w:style>
  <w:style w:type="character" w:customStyle="1" w:styleId="CommentTextChar">
    <w:name w:val="Comment Text Char"/>
    <w:basedOn w:val="DefaultParagraphFont"/>
    <w:link w:val="CommentText"/>
    <w:uiPriority w:val="99"/>
    <w:qFormat/>
    <w:rPr>
      <w:rFonts w:ascii="Calibri" w:hAnsi="Calibri"/>
      <w:sz w:val="24"/>
      <w:szCs w:val="24"/>
    </w:rPr>
  </w:style>
  <w:style w:type="character" w:customStyle="1" w:styleId="CommentSubjectChar">
    <w:name w:val="Comment Subject Char"/>
    <w:basedOn w:val="CommentTextChar"/>
    <w:link w:val="CommentSubject"/>
    <w:uiPriority w:val="99"/>
    <w:qFormat/>
    <w:rPr>
      <w:rFonts w:ascii="Calibri" w:hAnsi="Calibri"/>
      <w:b/>
      <w:bCs/>
      <w:sz w:val="24"/>
      <w:szCs w:val="24"/>
    </w:rPr>
  </w:style>
  <w:style w:type="character" w:customStyle="1" w:styleId="negrita">
    <w:name w:val="negrita"/>
    <w:basedOn w:val="DefaultParagraphFont"/>
    <w:qFormat/>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qFormat/>
    <w:rPr>
      <w:rFonts w:ascii="Arial" w:hAnsi="Arial" w:cs="Arial"/>
      <w:i/>
      <w:iCs/>
      <w:color w:val="2F5496"/>
      <w:sz w:val="26"/>
      <w:szCs w:val="24"/>
    </w:rPr>
  </w:style>
  <w:style w:type="character" w:customStyle="1" w:styleId="SubtitleChar">
    <w:name w:val="Subtitle Char"/>
    <w:basedOn w:val="DefaultParagraphFont"/>
    <w:link w:val="Subtitle"/>
    <w:qFormat/>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rFonts w:ascii="Arial" w:hAnsi="Arial" w:cs="Arial"/>
      <w:i/>
      <w:iCs/>
      <w:color w:val="404040" w:themeColor="text1" w:themeTint="BF"/>
      <w:sz w:val="26"/>
      <w:szCs w:val="24"/>
    </w:rPr>
  </w:style>
  <w:style w:type="character" w:customStyle="1" w:styleId="IntenseEmphasis1">
    <w:name w:val="Intense Emphasis1"/>
    <w:basedOn w:val="DefaultParagraphFont"/>
    <w:uiPriority w:val="21"/>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11">
    <w:name w:val="1.1"/>
    <w:basedOn w:val="Normal"/>
    <w:link w:val="11Char"/>
    <w:qFormat/>
    <w:pPr>
      <w:spacing w:before="120" w:after="120" w:line="360" w:lineRule="auto"/>
      <w:jc w:val="both"/>
    </w:pPr>
    <w:rPr>
      <w:rFonts w:ascii="Times New Roman" w:eastAsiaTheme="minorHAnsi" w:hAnsi="Times New Roman" w:cs="Times New Roman"/>
      <w:b/>
      <w:color w:val="FF0000"/>
      <w:szCs w:val="26"/>
      <w:lang w:val="vi-VN"/>
    </w:rPr>
  </w:style>
  <w:style w:type="character" w:customStyle="1" w:styleId="chuongChar">
    <w:name w:val="chuong Char"/>
    <w:link w:val="chuong"/>
    <w:qFormat/>
    <w:locked/>
    <w:rPr>
      <w:b/>
      <w:sz w:val="32"/>
      <w:szCs w:val="32"/>
    </w:rPr>
  </w:style>
  <w:style w:type="paragraph" w:customStyle="1" w:styleId="chuong">
    <w:name w:val="chuong"/>
    <w:basedOn w:val="Normal"/>
    <w:link w:val="chuongChar"/>
    <w:qFormat/>
    <w:pPr>
      <w:numPr>
        <w:numId w:val="2"/>
      </w:numPr>
      <w:spacing w:after="200" w:line="360" w:lineRule="auto"/>
      <w:jc w:val="center"/>
      <w:outlineLvl w:val="0"/>
    </w:pPr>
    <w:rPr>
      <w:rFonts w:ascii="Times New Roman" w:hAnsi="Times New Roman" w:cs="Times New Roman"/>
      <w:b/>
      <w:color w:val="auto"/>
      <w:sz w:val="32"/>
      <w:szCs w:val="32"/>
    </w:rPr>
  </w:style>
  <w:style w:type="character" w:customStyle="1" w:styleId="cap3Char">
    <w:name w:val="cap3 Char"/>
    <w:link w:val="cap3"/>
    <w:qFormat/>
    <w:locked/>
    <w:rPr>
      <w:b/>
      <w:sz w:val="26"/>
      <w:szCs w:val="26"/>
    </w:rPr>
  </w:style>
  <w:style w:type="paragraph" w:customStyle="1" w:styleId="cap3">
    <w:name w:val="cap3"/>
    <w:basedOn w:val="Normal"/>
    <w:link w:val="cap3Char"/>
    <w:autoRedefine/>
    <w:qFormat/>
    <w:pPr>
      <w:spacing w:after="200" w:line="360" w:lineRule="auto"/>
      <w:jc w:val="both"/>
      <w:outlineLvl w:val="1"/>
    </w:pPr>
    <w:rPr>
      <w:rFonts w:ascii="Times New Roman" w:hAnsi="Times New Roman" w:cs="Times New Roman"/>
      <w:b/>
      <w:color w:val="auto"/>
      <w:szCs w:val="26"/>
    </w:rPr>
  </w:style>
  <w:style w:type="character" w:customStyle="1" w:styleId="m1Char">
    <w:name w:val="m1 Char"/>
    <w:link w:val="m1"/>
    <w:qFormat/>
    <w:locked/>
    <w:rPr>
      <w:color w:val="000000" w:themeColor="text1"/>
      <w:sz w:val="26"/>
      <w:szCs w:val="26"/>
    </w:rPr>
  </w:style>
  <w:style w:type="paragraph" w:customStyle="1" w:styleId="m1">
    <w:name w:val="m1"/>
    <w:basedOn w:val="Normal"/>
    <w:link w:val="m1Char"/>
    <w:autoRedefine/>
    <w:qFormat/>
    <w:pPr>
      <w:spacing w:after="200" w:line="360" w:lineRule="auto"/>
      <w:jc w:val="both"/>
    </w:pPr>
    <w:rPr>
      <w:rFonts w:ascii="Times New Roman" w:hAnsi="Times New Roman" w:cs="Times New Roman"/>
      <w:color w:val="000000" w:themeColor="text1"/>
      <w:szCs w:val="26"/>
    </w:rPr>
  </w:style>
  <w:style w:type="character" w:customStyle="1" w:styleId="NormalWebChar">
    <w:name w:val="Normal (Web) Char"/>
    <w:link w:val="NormalWeb"/>
    <w:uiPriority w:val="99"/>
    <w:qFormat/>
    <w:locked/>
    <w:rPr>
      <w:sz w:val="24"/>
      <w:szCs w:val="24"/>
    </w:rPr>
  </w:style>
  <w:style w:type="paragraph" w:customStyle="1" w:styleId="Binhthuong">
    <w:name w:val="Binh thuong"/>
    <w:basedOn w:val="Normal"/>
    <w:link w:val="BinhthuongChar"/>
    <w:qFormat/>
    <w:pPr>
      <w:spacing w:before="120" w:after="120" w:line="360" w:lineRule="auto"/>
      <w:ind w:firstLine="720"/>
      <w:jc w:val="both"/>
    </w:pPr>
    <w:rPr>
      <w:rFonts w:ascii="Times New Roman" w:eastAsiaTheme="minorHAnsi" w:hAnsi="Times New Roman" w:cs="Times New Roman"/>
      <w:color w:val="auto"/>
      <w:szCs w:val="26"/>
    </w:rPr>
  </w:style>
  <w:style w:type="character" w:customStyle="1" w:styleId="BinhthuongChar">
    <w:name w:val="Binh thuong Char"/>
    <w:basedOn w:val="DefaultParagraphFont"/>
    <w:link w:val="Binhthuong"/>
    <w:qFormat/>
    <w:rPr>
      <w:rFonts w:eastAsiaTheme="minorHAnsi"/>
      <w:sz w:val="26"/>
      <w:szCs w:val="26"/>
    </w:rPr>
  </w:style>
  <w:style w:type="paragraph" w:customStyle="1" w:styleId="Style1">
    <w:name w:val="Style1"/>
    <w:basedOn w:val="ListParagraph"/>
    <w:qFormat/>
    <w:pPr>
      <w:numPr>
        <w:numId w:val="3"/>
      </w:numPr>
      <w:spacing w:before="120" w:after="120" w:line="360" w:lineRule="auto"/>
      <w:ind w:left="720" w:hanging="720"/>
    </w:pPr>
    <w:rPr>
      <w:rFonts w:eastAsiaTheme="minorHAnsi"/>
      <w:b/>
      <w:sz w:val="26"/>
      <w:szCs w:val="26"/>
    </w:rPr>
  </w:style>
  <w:style w:type="paragraph" w:customStyle="1" w:styleId="Style2">
    <w:name w:val="Style2"/>
    <w:basedOn w:val="Style1"/>
    <w:link w:val="Style2Char"/>
    <w:qFormat/>
    <w:pPr>
      <w:numPr>
        <w:ilvl w:val="1"/>
      </w:numPr>
      <w:ind w:left="788" w:hanging="431"/>
    </w:pPr>
  </w:style>
  <w:style w:type="character" w:customStyle="1" w:styleId="Style2Char">
    <w:name w:val="Style2 Char"/>
    <w:basedOn w:val="DefaultParagraphFont"/>
    <w:link w:val="Style2"/>
    <w:qFormat/>
    <w:rPr>
      <w:rFonts w:eastAsiaTheme="minorHAnsi"/>
      <w:b/>
      <w:sz w:val="26"/>
      <w:szCs w:val="26"/>
    </w:rPr>
  </w:style>
  <w:style w:type="paragraph" w:customStyle="1" w:styleId="Style3">
    <w:name w:val="Style3"/>
    <w:basedOn w:val="Style2"/>
    <w:link w:val="Style3Char"/>
    <w:qFormat/>
    <w:pPr>
      <w:numPr>
        <w:ilvl w:val="2"/>
      </w:numPr>
    </w:pPr>
  </w:style>
  <w:style w:type="character" w:customStyle="1" w:styleId="Style3Char">
    <w:name w:val="Style3 Char"/>
    <w:basedOn w:val="Style2Char"/>
    <w:link w:val="Style3"/>
    <w:qFormat/>
    <w:rPr>
      <w:rFonts w:eastAsiaTheme="minorHAnsi"/>
      <w:b/>
      <w:sz w:val="26"/>
      <w:szCs w:val="26"/>
    </w:rPr>
  </w:style>
  <w:style w:type="paragraph" w:customStyle="1" w:styleId="Style4">
    <w:name w:val="Style4"/>
    <w:basedOn w:val="Style3"/>
    <w:link w:val="Style4Char"/>
    <w:qFormat/>
    <w:pPr>
      <w:numPr>
        <w:ilvl w:val="3"/>
      </w:numPr>
    </w:pPr>
  </w:style>
  <w:style w:type="paragraph" w:customStyle="1" w:styleId="Sodo">
    <w:name w:val="So do"/>
    <w:basedOn w:val="Binhthuong"/>
    <w:link w:val="SodoChar"/>
    <w:qFormat/>
    <w:pPr>
      <w:jc w:val="center"/>
    </w:pPr>
  </w:style>
  <w:style w:type="character" w:customStyle="1" w:styleId="SodoChar">
    <w:name w:val="So do Char"/>
    <w:basedOn w:val="BinhthuongChar"/>
    <w:link w:val="Sodo"/>
    <w:qFormat/>
    <w:rPr>
      <w:rFonts w:eastAsiaTheme="minorHAnsi"/>
      <w:sz w:val="26"/>
      <w:szCs w:val="26"/>
    </w:rPr>
  </w:style>
  <w:style w:type="paragraph" w:customStyle="1" w:styleId="Bang">
    <w:name w:val="Bang"/>
    <w:basedOn w:val="Binhthuong"/>
    <w:link w:val="BangChar"/>
    <w:qFormat/>
    <w:pPr>
      <w:ind w:firstLine="0"/>
    </w:pPr>
    <w:rPr>
      <w:b/>
    </w:rPr>
  </w:style>
  <w:style w:type="character" w:customStyle="1" w:styleId="BangChar">
    <w:name w:val="Bang Char"/>
    <w:basedOn w:val="BinhthuongChar"/>
    <w:link w:val="Bang"/>
    <w:qFormat/>
    <w:rPr>
      <w:rFonts w:eastAsiaTheme="minorHAnsi"/>
      <w:b/>
      <w:sz w:val="26"/>
      <w:szCs w:val="26"/>
    </w:rPr>
  </w:style>
  <w:style w:type="paragraph" w:customStyle="1" w:styleId="Style10">
    <w:name w:val="Style1.0"/>
    <w:basedOn w:val="Normal"/>
    <w:link w:val="Style10Char"/>
    <w:qFormat/>
    <w:pPr>
      <w:spacing w:before="120" w:after="120" w:line="360" w:lineRule="auto"/>
    </w:pPr>
    <w:rPr>
      <w:rFonts w:ascii="Times New Roman" w:eastAsiaTheme="minorHAnsi" w:hAnsi="Times New Roman" w:cs="Times New Roman"/>
      <w:b/>
      <w:color w:val="auto"/>
      <w:szCs w:val="26"/>
    </w:rPr>
  </w:style>
  <w:style w:type="character" w:customStyle="1" w:styleId="Style10Char">
    <w:name w:val="Style1.0 Char"/>
    <w:basedOn w:val="DefaultParagraphFont"/>
    <w:link w:val="Style10"/>
    <w:qFormat/>
    <w:rPr>
      <w:rFonts w:eastAsiaTheme="minorHAnsi"/>
      <w:b/>
      <w:sz w:val="26"/>
      <w:szCs w:val="26"/>
    </w:rPr>
  </w:style>
  <w:style w:type="character" w:customStyle="1" w:styleId="Style4Char">
    <w:name w:val="Style4 Char"/>
    <w:basedOn w:val="Style3Char"/>
    <w:link w:val="Style4"/>
    <w:qFormat/>
    <w:rPr>
      <w:rFonts w:eastAsiaTheme="minorHAnsi"/>
      <w:b/>
      <w:sz w:val="26"/>
      <w:szCs w:val="26"/>
    </w:rPr>
  </w:style>
  <w:style w:type="character" w:customStyle="1" w:styleId="BalloonTextChar1">
    <w:name w:val="Balloon Text Char1"/>
    <w:basedOn w:val="DefaultParagraphFont"/>
    <w:uiPriority w:val="99"/>
    <w:semiHidden/>
    <w:qFormat/>
    <w:rPr>
      <w:rFonts w:ascii="Tahoma" w:eastAsia="Calibri" w:hAnsi="Tahoma" w:cs="Tahoma"/>
      <w:sz w:val="16"/>
      <w:szCs w:val="16"/>
      <w:lang w:val="vi-VN"/>
    </w:rPr>
  </w:style>
  <w:style w:type="character" w:customStyle="1" w:styleId="BodyTextIndentChar">
    <w:name w:val="Body Text Indent Char"/>
    <w:basedOn w:val="DefaultParagraphFont"/>
    <w:link w:val="BodyTextIndent"/>
    <w:qFormat/>
    <w:rPr>
      <w:rFonts w:eastAsia="SimSun"/>
      <w:sz w:val="28"/>
      <w:szCs w:val="24"/>
    </w:rPr>
  </w:style>
  <w:style w:type="character" w:customStyle="1" w:styleId="Bodytext0">
    <w:name w:val="Body text_"/>
    <w:basedOn w:val="DefaultParagraphFont"/>
    <w:link w:val="Bodytext1"/>
    <w:qFormat/>
    <w:rPr>
      <w:sz w:val="25"/>
      <w:szCs w:val="25"/>
      <w:shd w:val="clear" w:color="auto" w:fill="FFFFFF"/>
    </w:rPr>
  </w:style>
  <w:style w:type="paragraph" w:customStyle="1" w:styleId="Bodytext1">
    <w:name w:val="Body text1"/>
    <w:basedOn w:val="Normal"/>
    <w:link w:val="Bodytext0"/>
    <w:qFormat/>
    <w:pPr>
      <w:widowControl w:val="0"/>
      <w:shd w:val="clear" w:color="auto" w:fill="FFFFFF"/>
      <w:spacing w:line="298" w:lineRule="exact"/>
      <w:ind w:hanging="360"/>
      <w:jc w:val="center"/>
    </w:pPr>
    <w:rPr>
      <w:rFonts w:ascii="Times New Roman" w:hAnsi="Times New Roman" w:cs="Times New Roman"/>
      <w:color w:val="auto"/>
      <w:sz w:val="25"/>
      <w:szCs w:val="25"/>
    </w:rPr>
  </w:style>
  <w:style w:type="character" w:customStyle="1" w:styleId="BodytextItalic">
    <w:name w:val="Body text + Italic"/>
    <w:basedOn w:val="Bodytext0"/>
    <w:qFormat/>
    <w:rPr>
      <w:i/>
      <w:iCs/>
      <w:sz w:val="25"/>
      <w:szCs w:val="25"/>
      <w:shd w:val="clear" w:color="auto" w:fill="FFFFFF"/>
      <w:lang w:bidi="ar-SA"/>
    </w:rPr>
  </w:style>
  <w:style w:type="character" w:customStyle="1" w:styleId="BodyText10">
    <w:name w:val="Body Text1"/>
    <w:basedOn w:val="Bodytext0"/>
    <w:qFormat/>
    <w:rPr>
      <w:sz w:val="25"/>
      <w:szCs w:val="25"/>
      <w:u w:val="single"/>
      <w:shd w:val="clear" w:color="auto" w:fill="FFFFFF"/>
      <w:lang w:bidi="ar-SA"/>
    </w:rPr>
  </w:style>
  <w:style w:type="character" w:customStyle="1" w:styleId="Heading40">
    <w:name w:val="Heading #4_"/>
    <w:basedOn w:val="DefaultParagraphFont"/>
    <w:link w:val="Heading41"/>
    <w:qFormat/>
    <w:rPr>
      <w:sz w:val="25"/>
      <w:szCs w:val="25"/>
      <w:shd w:val="clear" w:color="auto" w:fill="FFFFFF"/>
    </w:rPr>
  </w:style>
  <w:style w:type="paragraph" w:customStyle="1" w:styleId="Heading41">
    <w:name w:val="Heading #4"/>
    <w:basedOn w:val="Normal"/>
    <w:link w:val="Heading40"/>
    <w:qFormat/>
    <w:pPr>
      <w:widowControl w:val="0"/>
      <w:shd w:val="clear" w:color="auto" w:fill="FFFFFF"/>
      <w:spacing w:after="360" w:line="240" w:lineRule="atLeast"/>
      <w:ind w:hanging="360"/>
      <w:jc w:val="center"/>
      <w:outlineLvl w:val="3"/>
    </w:pPr>
    <w:rPr>
      <w:rFonts w:ascii="Times New Roman" w:hAnsi="Times New Roman" w:cs="Times New Roman"/>
      <w:color w:val="auto"/>
      <w:sz w:val="25"/>
      <w:szCs w:val="25"/>
    </w:rPr>
  </w:style>
  <w:style w:type="paragraph" w:customStyle="1" w:styleId="sectiontitle">
    <w:name w:val="sectiontitle"/>
    <w:basedOn w:val="Normal"/>
    <w:qFormat/>
    <w:pPr>
      <w:spacing w:before="100" w:beforeAutospacing="1" w:after="100" w:afterAutospacing="1"/>
    </w:pPr>
    <w:rPr>
      <w:rFonts w:ascii="Times New Roman" w:hAnsi="Times New Roman" w:cs="Times New Roman"/>
      <w:color w:val="auto"/>
      <w:sz w:val="24"/>
    </w:rPr>
  </w:style>
  <w:style w:type="paragraph" w:customStyle="1" w:styleId="Bng">
    <w:name w:val="Bảng"/>
    <w:basedOn w:val="Normal"/>
    <w:autoRedefine/>
    <w:qFormat/>
    <w:pPr>
      <w:spacing w:line="360" w:lineRule="auto"/>
      <w:jc w:val="center"/>
      <w:outlineLvl w:val="0"/>
    </w:pPr>
    <w:rPr>
      <w:rFonts w:ascii="Times New Roman" w:hAnsi="Times New Roman" w:cs="Times New Roman"/>
      <w:b/>
      <w:color w:val="auto"/>
      <w:szCs w:val="26"/>
      <w:lang w:val="vi-VN" w:eastAsia="vi-VN"/>
    </w:rPr>
  </w:style>
  <w:style w:type="paragraph" w:customStyle="1" w:styleId="Body">
    <w:name w:val="Body"/>
    <w:qFormat/>
    <w:pPr>
      <w:spacing w:after="200" w:line="276" w:lineRule="auto"/>
    </w:pPr>
    <w:rPr>
      <w:color w:val="000000"/>
      <w:sz w:val="22"/>
      <w:szCs w:val="22"/>
      <w:u w:color="000000"/>
      <w:lang w:val="vi-VN" w:eastAsia="vi-VN"/>
    </w:rPr>
  </w:style>
  <w:style w:type="paragraph" w:customStyle="1" w:styleId="chnh">
    <w:name w:val="chính"/>
    <w:basedOn w:val="Normal"/>
    <w:link w:val="chnhChar"/>
    <w:qFormat/>
    <w:pPr>
      <w:tabs>
        <w:tab w:val="right" w:leader="dot" w:pos="9129"/>
        <w:tab w:val="right" w:leader="dot" w:pos="9526"/>
      </w:tabs>
      <w:spacing w:before="120" w:line="360" w:lineRule="auto"/>
      <w:jc w:val="center"/>
    </w:pPr>
    <w:rPr>
      <w:rFonts w:ascii="Times New Roman" w:eastAsiaTheme="minorEastAsia" w:hAnsi="Times New Roman" w:cs="Times New Roman"/>
      <w:b/>
      <w:color w:val="auto"/>
      <w:sz w:val="32"/>
      <w:szCs w:val="32"/>
    </w:rPr>
  </w:style>
  <w:style w:type="character" w:customStyle="1" w:styleId="chnhChar">
    <w:name w:val="chính Char"/>
    <w:basedOn w:val="DefaultParagraphFont"/>
    <w:link w:val="chnh"/>
    <w:qFormat/>
    <w:rPr>
      <w:rFonts w:eastAsiaTheme="minorEastAsia"/>
      <w:b/>
      <w:sz w:val="32"/>
      <w:szCs w:val="32"/>
    </w:rPr>
  </w:style>
  <w:style w:type="paragraph" w:customStyle="1" w:styleId="chng">
    <w:name w:val="chương"/>
    <w:basedOn w:val="ListParagraph"/>
    <w:qFormat/>
    <w:pPr>
      <w:spacing w:line="360" w:lineRule="auto"/>
      <w:ind w:left="357" w:hanging="357"/>
      <w:contextualSpacing/>
      <w:jc w:val="center"/>
    </w:pPr>
    <w:rPr>
      <w:b/>
      <w:bCs/>
      <w:sz w:val="26"/>
      <w:szCs w:val="26"/>
      <w:lang w:val="pt-BR"/>
    </w:rPr>
  </w:style>
  <w:style w:type="character" w:customStyle="1" w:styleId="11Char">
    <w:name w:val="1.1 Char"/>
    <w:basedOn w:val="DefaultParagraphFont"/>
    <w:link w:val="11"/>
    <w:qFormat/>
    <w:rPr>
      <w:rFonts w:eastAsiaTheme="minorHAnsi"/>
      <w:b/>
      <w:color w:val="FF0000"/>
      <w:sz w:val="26"/>
      <w:szCs w:val="26"/>
      <w:lang w:val="vi-VN"/>
    </w:rPr>
  </w:style>
  <w:style w:type="paragraph" w:customStyle="1" w:styleId="111">
    <w:name w:val="1.1.1"/>
    <w:basedOn w:val="11"/>
    <w:link w:val="111Char"/>
    <w:qFormat/>
    <w:pPr>
      <w:spacing w:before="0" w:after="0"/>
      <w:ind w:left="357" w:hanging="357"/>
      <w:contextualSpacing/>
      <w:jc w:val="left"/>
    </w:pPr>
    <w:rPr>
      <w:bCs/>
      <w:lang w:val="pt-BR"/>
    </w:rPr>
  </w:style>
  <w:style w:type="character" w:customStyle="1" w:styleId="111Char">
    <w:name w:val="1.1.1 Char"/>
    <w:basedOn w:val="11Char"/>
    <w:link w:val="111"/>
    <w:qFormat/>
    <w:rPr>
      <w:rFonts w:eastAsiaTheme="minorHAnsi"/>
      <w:b/>
      <w:bCs/>
      <w:color w:val="FF0000"/>
      <w:sz w:val="26"/>
      <w:szCs w:val="26"/>
      <w:lang w:val="pt-BR"/>
    </w:rPr>
  </w:style>
  <w:style w:type="paragraph" w:customStyle="1" w:styleId="1111">
    <w:name w:val="1.1.1.1"/>
    <w:basedOn w:val="111"/>
    <w:qFormat/>
    <w:pPr>
      <w:tabs>
        <w:tab w:val="left" w:pos="360"/>
      </w:tabs>
    </w:pPr>
  </w:style>
  <w:style w:type="paragraph" w:customStyle="1" w:styleId="Danhmucbang">
    <w:name w:val="Danh mục bảng"/>
    <w:basedOn w:val="Normal"/>
    <w:qFormat/>
    <w:pPr>
      <w:spacing w:after="200" w:line="276" w:lineRule="auto"/>
    </w:pPr>
    <w:rPr>
      <w:rFonts w:ascii="Times New Roman" w:eastAsia="Calibri" w:hAnsi="Times New Roman" w:cs="Times New Roman"/>
      <w:bCs/>
      <w:color w:val="auto"/>
      <w:szCs w:val="20"/>
    </w:rPr>
  </w:style>
  <w:style w:type="paragraph" w:customStyle="1" w:styleId="Hnh">
    <w:name w:val="Hình"/>
    <w:basedOn w:val="Normal"/>
    <w:autoRedefine/>
    <w:qFormat/>
    <w:pPr>
      <w:tabs>
        <w:tab w:val="left" w:pos="851"/>
      </w:tabs>
      <w:spacing w:line="360" w:lineRule="auto"/>
      <w:jc w:val="center"/>
      <w:outlineLvl w:val="0"/>
    </w:pPr>
    <w:rPr>
      <w:rFonts w:ascii="Times New Roman" w:hAnsi="Times New Roman" w:cs="Times New Roman"/>
      <w:b/>
      <w:color w:val="auto"/>
      <w:szCs w:val="26"/>
      <w:lang w:val="pt-BR"/>
    </w:rPr>
  </w:style>
  <w:style w:type="paragraph" w:customStyle="1" w:styleId="Q2">
    <w:name w:val="Q2"/>
    <w:basedOn w:val="Normal"/>
    <w:qFormat/>
    <w:rPr>
      <w:rFonts w:ascii="Times New Roman" w:hAnsi="Times New Roman" w:cs="Times New Roman"/>
      <w:color w:val="auto"/>
    </w:rPr>
  </w:style>
  <w:style w:type="character" w:customStyle="1" w:styleId="HTMLPreformattedChar1">
    <w:name w:val="HTML Preformatted Char1"/>
    <w:basedOn w:val="DefaultParagraphFont"/>
    <w:uiPriority w:val="99"/>
    <w:semiHidden/>
    <w:qFormat/>
    <w:rPr>
      <w:rFonts w:ascii="Consolas" w:hAnsi="Consolas" w:cs="Consolas"/>
      <w:sz w:val="20"/>
      <w:szCs w:val="20"/>
    </w:rPr>
  </w:style>
  <w:style w:type="character" w:customStyle="1" w:styleId="FontStyle13">
    <w:name w:val="Font Style13"/>
    <w:qFormat/>
    <w:rPr>
      <w:rFonts w:ascii="Times New Roman" w:hAnsi="Times New Roman" w:cs="Times New Roman"/>
      <w:color w:val="000000"/>
      <w:sz w:val="24"/>
      <w:szCs w:val="24"/>
    </w:rPr>
  </w:style>
  <w:style w:type="paragraph" w:customStyle="1" w:styleId="Style6">
    <w:name w:val="Style6"/>
    <w:basedOn w:val="Normal"/>
    <w:qFormat/>
    <w:pPr>
      <w:widowControl w:val="0"/>
      <w:autoSpaceDE w:val="0"/>
      <w:autoSpaceDN w:val="0"/>
      <w:adjustRightInd w:val="0"/>
      <w:spacing w:line="433" w:lineRule="exact"/>
      <w:ind w:firstLine="684"/>
      <w:jc w:val="both"/>
    </w:pPr>
    <w:rPr>
      <w:rFonts w:ascii="Times New Roman" w:hAnsi="Times New Roman" w:cs="Times New Roman"/>
      <w:color w:val="auto"/>
      <w:sz w:val="24"/>
    </w:rPr>
  </w:style>
  <w:style w:type="character" w:customStyle="1" w:styleId="Bodytext2">
    <w:name w:val="Body text (2)_"/>
    <w:link w:val="Bodytext21"/>
    <w:uiPriority w:val="99"/>
    <w:qFormat/>
    <w:locked/>
    <w:rPr>
      <w:sz w:val="26"/>
      <w:szCs w:val="26"/>
      <w:shd w:val="clear" w:color="auto" w:fill="FFFFFF"/>
    </w:rPr>
  </w:style>
  <w:style w:type="paragraph" w:customStyle="1" w:styleId="Bodytext21">
    <w:name w:val="Body text (2)1"/>
    <w:basedOn w:val="Normal"/>
    <w:link w:val="Bodytext2"/>
    <w:uiPriority w:val="99"/>
    <w:qFormat/>
    <w:pPr>
      <w:widowControl w:val="0"/>
      <w:shd w:val="clear" w:color="auto" w:fill="FFFFFF"/>
      <w:spacing w:before="120" w:after="240" w:line="446" w:lineRule="exact"/>
    </w:pPr>
    <w:rPr>
      <w:rFonts w:ascii="Times New Roman" w:hAnsi="Times New Roman" w:cs="Times New Roman"/>
      <w:color w:val="auto"/>
      <w:szCs w:val="26"/>
    </w:rPr>
  </w:style>
  <w:style w:type="table" w:customStyle="1" w:styleId="TableGrid1">
    <w:name w:val="Table Grid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qFormat/>
    <w:pPr>
      <w:jc w:val="both"/>
    </w:pPr>
    <w:rPr>
      <w:rFonts w:eastAsia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39"/>
    <w:qFormat/>
    <w:rPr>
      <w:rFonts w:ascii="Aptos" w:eastAsiaTheme="minorHAnsi" w:hAnsi="Aptos"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Title">
    <w:name w:val="Els-Title"/>
    <w:next w:val="Normal"/>
    <w:autoRedefine/>
    <w:qFormat/>
    <w:pPr>
      <w:suppressAutoHyphens/>
      <w:spacing w:after="240" w:line="360" w:lineRule="auto"/>
      <w:jc w:val="both"/>
    </w:pPr>
    <w:rPr>
      <w:rFonts w:ascii="Times New Roman" w:eastAsia="MS Mincho" w:hAnsi="Times New Roman" w:cs="Times New Roman"/>
      <w:color w:val="000000" w:themeColor="text1"/>
      <w:sz w:val="26"/>
      <w:szCs w:val="26"/>
      <w:lang w:eastAsia="ja-JP"/>
    </w:rPr>
  </w:style>
  <w:style w:type="paragraph" w:customStyle="1" w:styleId="papertitle">
    <w:name w:val="papertitle"/>
    <w:basedOn w:val="Normal"/>
    <w:next w:val="Normal"/>
    <w:qFormat/>
    <w:pPr>
      <w:keepNext/>
      <w:keepLines/>
      <w:suppressAutoHyphens/>
      <w:overflowPunct w:val="0"/>
      <w:autoSpaceDE w:val="0"/>
      <w:autoSpaceDN w:val="0"/>
      <w:adjustRightInd w:val="0"/>
      <w:spacing w:after="480" w:line="360" w:lineRule="atLeast"/>
      <w:jc w:val="center"/>
      <w:textAlignment w:val="baseline"/>
    </w:pPr>
    <w:rPr>
      <w:rFonts w:ascii="Times New Roman" w:hAnsi="Times New Roman" w:cs="Times New Roman"/>
      <w:b/>
      <w:color w:val="auto"/>
      <w:sz w:val="28"/>
      <w:szCs w:val="20"/>
    </w:rPr>
  </w:style>
  <w:style w:type="character" w:customStyle="1" w:styleId="IntenseEmphasis10">
    <w:name w:val="Intense Emphasis1"/>
    <w:basedOn w:val="DefaultParagraphFont"/>
    <w:uiPriority w:val="21"/>
    <w:qFormat/>
    <w:rPr>
      <w:i/>
      <w:iCs/>
      <w:color w:val="2F5496"/>
    </w:rPr>
  </w:style>
  <w:style w:type="character" w:customStyle="1" w:styleId="ng-star-inserted1">
    <w:name w:val="ng-star-inserted1"/>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801A92-8563-4BB9-B412-152F254D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29</Pages>
  <Words>8694</Words>
  <Characters>49561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TRÖÔØNG ÑAÏI HOÏC TRAØ VINH</vt:lpstr>
    </vt:vector>
  </TitlesOfParts>
  <Company>home</Company>
  <LinksUpToDate>false</LinksUpToDate>
  <CharactersWithSpaces>58139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TRÖÔØNG ÑAÏI HOÏC TRAØ VINH</dc:title>
  <dc:creator>nthue</dc:creator>
  <cp:lastModifiedBy>Admin</cp:lastModifiedBy>
  <cp:revision>11</cp:revision>
  <cp:lastPrinted>2025-10-18T07:43:00Z</cp:lastPrinted>
  <dcterms:created xsi:type="dcterms:W3CDTF">2026-08-21T15:20:00Z</dcterms:created>
  <dcterms:modified xsi:type="dcterms:W3CDTF">2026-09-01T05:47:00Z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eyJoZGlkIjoiNWE0MGRmYmRjODEyODY1YzQ2NDdjMWI0Yjk4MzBjNWQifQ==</vt:lpwstr>
  </property>
  <property fmtid="{D5CDD505-2E9C-101B-9397-08002B2CF9AE}" pid="3" name="KSOProductBuildVer">
    <vt:lpwstr>1033-12.1.0.26372</vt:lpwstr>
  </property>
  <property fmtid="{D5CDD505-2E9C-101B-9397-08002B2CF9AE}" pid="4" name="ICV">
    <vt:lpwstr>EE2FD9E6626E4F4AA2F1BDE31503B1FF_12</vt:lpwstr>
  </property>
</Properties>
</file>